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32"/>
          <w:szCs w:val="32"/>
        </w:rPr>
      </w:pPr>
      <w:bookmarkStart w:colFirst="0" w:colLast="0" w:name="_9tjdrira8g5p" w:id="0"/>
      <w:bookmarkEnd w:id="0"/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מכונת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הדיסאינפורמציה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של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אנקרה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–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שליטה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מבית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,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ייצוא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נרטיבים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ומפנה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2025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(Ankara’s Disinformation Machine: Domestic Control, Exported Narratives, and a 2025 Pivot)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שי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גל</w:t>
      </w:r>
      <w:r w:rsidDel="00000000" w:rsidR="00000000" w:rsidRPr="00000000">
        <w:rPr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חבר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במכון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החשיבה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היווני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International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Institute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of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Strategy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באנגלית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והתרגום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המחבר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התרגום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נאמן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ומאושר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v5aqbcjgulio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תקציר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מנהלים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Executive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Summary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ממשלת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שילבה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חקיקה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רגולטורים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ריכוזי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מאבק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בדיסאינפורמציה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rtl w:val="0"/>
        </w:rPr>
        <w:t xml:space="preserve">Anti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Disinformation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Hub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ומערכת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ממושמעת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ומודל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ייצוא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החוצה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בשנת</w:t>
      </w:r>
      <w:r w:rsidDel="00000000" w:rsidR="00000000" w:rsidRPr="00000000">
        <w:rPr>
          <w:rtl w:val="1"/>
        </w:rPr>
        <w:t xml:space="preserve"> 2025 </w:t>
      </w:r>
      <w:r w:rsidDel="00000000" w:rsidR="00000000" w:rsidRPr="00000000">
        <w:rPr>
          <w:rtl w:val="1"/>
        </w:rPr>
        <w:t xml:space="preserve">דגם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התפתחויות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מכריעות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ראשית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היקפו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האזורי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התרחב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ערוצי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בערבית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הפיצו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נרטיבים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רך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rtl w:val="0"/>
        </w:rPr>
        <w:t xml:space="preserve">Soft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Power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כלפי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ויצרו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חיכוכים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בהודעות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התיווך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וההרתעה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קהיר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ולוב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במקביל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גורמים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פקיסטניים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וסיניים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משולש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Triangular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Information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Axis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מאמציו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סינדור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Operation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Sindoor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וחשף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דפוס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נרטיבית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rtl w:val="0"/>
        </w:rPr>
        <w:t xml:space="preserve">Narrative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Load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Sharing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שנית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המשמעת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בהעתקת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לבשלות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במבצעי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דיסאינפורמציה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ידידותית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rtl w:val="0"/>
        </w:rPr>
        <w:t xml:space="preserve">Friendly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Fire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Disinformation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אזרבייג</w:t>
      </w:r>
      <w:r w:rsidDel="00000000" w:rsidR="00000000" w:rsidRPr="00000000">
        <w:rPr>
          <w:rtl w:val="1"/>
        </w:rPr>
        <w:t xml:space="preserve">׳</w:t>
      </w:r>
      <w:r w:rsidDel="00000000" w:rsidR="00000000" w:rsidRPr="00000000">
        <w:rPr>
          <w:rtl w:val="1"/>
        </w:rPr>
        <w:t xml:space="preserve">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במקביל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השיטתיות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קפריסין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ארמניה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וארצות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הארכיטקטורה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מפענח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מאבק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בדיסאינפורמציה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DMM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i w:val="1"/>
          <w:rtl w:val="0"/>
        </w:rPr>
        <w:t xml:space="preserve">Dezenformasyonla Mücadele Merkezi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מתפקד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כטכנולוגיית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ייצוא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ומציע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תגובות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ניקוסיה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וירושלים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וקהיר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כולן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מתמודדות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גרסאות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i w:val="1"/>
          <w:rtl w:val="0"/>
        </w:rPr>
        <w:t xml:space="preserve">playbook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מתפתח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2k9xqh8aqg6i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הערת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מתודולוגיה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והיקף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Method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Note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and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Scope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הניתוח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פתוחים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OSINT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i w:val="1"/>
          <w:rtl w:val="0"/>
        </w:rPr>
        <w:t xml:space="preserve">Open-Source Intelligence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מסמכים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ומדיניים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החלטות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רגולטוריות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ואזרית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ובדיקות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עובדתיות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מרכזיות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Fact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Checks</w:t>
      </w:r>
      <w:r w:rsidDel="00000000" w:rsidR="00000000" w:rsidRPr="00000000">
        <w:rPr>
          <w:rtl w:val="1"/>
        </w:rPr>
        <w:t xml:space="preserve">).</w:t>
        <w:br w:type="textWrapping"/>
        <w:t xml:space="preserve"> </w:t>
      </w: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מתייחס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הממשלתי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למאבק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בדיסאינפורמציה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DMM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כשחקן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מוסדי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כמותג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נרטיבי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כלומר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שמעצבת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ומסמנת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כסמכות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ריכוזית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bidi w:val="1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5rxma1c47343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I</w:t>
      </w:r>
      <w:r w:rsidDel="00000000" w:rsidR="00000000" w:rsidRPr="00000000">
        <w:rPr>
          <w:b w:val="1"/>
          <w:sz w:val="34"/>
          <w:szCs w:val="34"/>
          <w:rtl w:val="1"/>
        </w:rPr>
        <w:t xml:space="preserve">. </w:t>
      </w:r>
      <w:r w:rsidDel="00000000" w:rsidR="00000000" w:rsidRPr="00000000">
        <w:rPr>
          <w:b w:val="1"/>
          <w:sz w:val="34"/>
          <w:szCs w:val="34"/>
          <w:rtl w:val="1"/>
        </w:rPr>
        <w:t xml:space="preserve">בתוך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המכונה</w:t>
      </w:r>
      <w:r w:rsidDel="00000000" w:rsidR="00000000" w:rsidRPr="00000000">
        <w:rPr>
          <w:b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sz w:val="34"/>
          <w:szCs w:val="34"/>
          <w:rtl w:val="1"/>
        </w:rPr>
        <w:t xml:space="preserve">כיצד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אנקרה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מייצרת</w:t>
      </w:r>
      <w:r w:rsidDel="00000000" w:rsidR="00000000" w:rsidRPr="00000000">
        <w:rPr>
          <w:b w:val="1"/>
          <w:sz w:val="34"/>
          <w:szCs w:val="34"/>
          <w:rtl w:val="1"/>
        </w:rPr>
        <w:t xml:space="preserve"> “</w:t>
      </w:r>
      <w:r w:rsidDel="00000000" w:rsidR="00000000" w:rsidRPr="00000000">
        <w:rPr>
          <w:b w:val="1"/>
          <w:sz w:val="34"/>
          <w:szCs w:val="34"/>
          <w:rtl w:val="1"/>
        </w:rPr>
        <w:t xml:space="preserve">אמת</w:t>
      </w:r>
      <w:r w:rsidDel="00000000" w:rsidR="00000000" w:rsidRPr="00000000">
        <w:rPr>
          <w:b w:val="1"/>
          <w:sz w:val="34"/>
          <w:szCs w:val="34"/>
          <w:rtl w:val="1"/>
        </w:rPr>
        <w:t xml:space="preserve">” </w:t>
      </w:r>
      <w:r w:rsidDel="00000000" w:rsidR="00000000" w:rsidRPr="00000000">
        <w:rPr>
          <w:b w:val="1"/>
          <w:sz w:val="34"/>
          <w:szCs w:val="34"/>
          <w:rtl w:val="1"/>
        </w:rPr>
        <w:t xml:space="preserve">מבית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Inside the Machine: How Ankara Manufactures “Truth” at Home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afhcuaekiw77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הארכיטקטורה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המשפטית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הטורקי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דיסאינפורמציה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משנת</w:t>
      </w:r>
      <w:r w:rsidDel="00000000" w:rsidR="00000000" w:rsidRPr="00000000">
        <w:rPr>
          <w:rtl w:val="1"/>
        </w:rPr>
        <w:t xml:space="preserve"> 2022 (</w:t>
      </w:r>
      <w:r w:rsidDel="00000000" w:rsidR="00000000" w:rsidRPr="00000000">
        <w:rPr>
          <w:rtl w:val="1"/>
        </w:rPr>
        <w:t xml:space="preserve">סעיף</w:t>
      </w:r>
      <w:r w:rsidDel="00000000" w:rsidR="00000000" w:rsidRPr="00000000">
        <w:rPr>
          <w:rtl w:val="1"/>
        </w:rPr>
        <w:t xml:space="preserve"> 217/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הפלילי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i w:val="1"/>
          <w:rtl w:val="0"/>
        </w:rPr>
        <w:t xml:space="preserve">Penal Code Art. 217/A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קובע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הפצת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כוזב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הנוגעים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הביטוי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שמתעדים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ארגוני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וגורמי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ניטור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עצמאיים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שיטתי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לרדיפה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עיתונאים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בלוגרים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ומשתמשי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במקביל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רשתות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טרולים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Troll Networks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הקשורות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למפלגת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מחזקות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הפרו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ממשלתיים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ברשתות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החברתיות</w:t>
      </w:r>
      <w:r w:rsidDel="00000000" w:rsidR="00000000" w:rsidRPr="00000000">
        <w:rPr>
          <w:rtl w:val="1"/>
        </w:rPr>
        <w:t xml:space="preserve"> (1).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3r6mtjesx06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הארכיטקטורה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המוסדית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בדיסאינפורמציה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הנשיאות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DMM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i w:val="1"/>
          <w:rtl w:val="0"/>
        </w:rPr>
        <w:t xml:space="preserve">Dezenformasyonla Mücadele Merkezi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הכפוף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הנשיאות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Presidency’s Communications Directorate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מפרסם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לשוניים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כגוף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בדיקת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עובדות</w:t>
      </w:r>
      <w:r w:rsidDel="00000000" w:rsidR="00000000" w:rsidRPr="00000000">
        <w:rPr>
          <w:rtl w:val="1"/>
        </w:rPr>
        <w:t xml:space="preserve">” (</w:t>
      </w:r>
      <w:r w:rsidDel="00000000" w:rsidR="00000000" w:rsidRPr="00000000">
        <w:rPr>
          <w:i w:val="1"/>
          <w:rtl w:val="0"/>
        </w:rPr>
        <w:t xml:space="preserve">Fact Checker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ומפיץ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הבהרות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בחמש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המדיה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והמקורבת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הצלחתו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במאבק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בפייק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ניוז</w:t>
      </w:r>
      <w:r w:rsidDel="00000000" w:rsidR="00000000" w:rsidRPr="00000000">
        <w:rPr>
          <w:rtl w:val="1"/>
        </w:rPr>
        <w:t xml:space="preserve">”,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משקיפים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עצמאיים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בודק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עובדות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ביקורתיים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עיתונות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אופוזיציונית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ובכך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צנזורה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ממלכתי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(2)(3)(4).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1kbu2f4753zd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לכידת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התקשורת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והטלת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סנקציות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מועצת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הרדיו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והטלוויזיה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RTÜK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דרקונית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קנסות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השעיות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וחקירות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פליליות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סוררים</w:t>
      </w:r>
      <w:r w:rsidDel="00000000" w:rsidR="00000000" w:rsidRPr="00000000">
        <w:rPr>
          <w:rtl w:val="1"/>
        </w:rPr>
        <w:t xml:space="preserve">”. </w:t>
      </w:r>
      <w:r w:rsidDel="00000000" w:rsidR="00000000" w:rsidRPr="00000000">
        <w:rPr>
          <w:rtl w:val="1"/>
        </w:rPr>
        <w:t xml:space="preserve">מדד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העיתונות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ארגון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עיתונאים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גבולות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i w:val="1"/>
          <w:rtl w:val="0"/>
        </w:rPr>
        <w:t xml:space="preserve">Reporters Without Borders – RSF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־159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180 </w:t>
      </w:r>
      <w:r w:rsidDel="00000000" w:rsidR="00000000" w:rsidRPr="00000000">
        <w:rPr>
          <w:rtl w:val="1"/>
        </w:rPr>
        <w:t xml:space="preserve">לשנת</w:t>
      </w:r>
      <w:r w:rsidDel="00000000" w:rsidR="00000000" w:rsidRPr="00000000">
        <w:rPr>
          <w:rtl w:val="1"/>
        </w:rPr>
        <w:t xml:space="preserve"> 2025 – </w:t>
      </w:r>
      <w:r w:rsidDel="00000000" w:rsidR="00000000" w:rsidRPr="00000000">
        <w:rPr>
          <w:rtl w:val="1"/>
        </w:rPr>
        <w:t xml:space="preserve">תיעוד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חריף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לפגיעה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העיתונות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במדינה</w:t>
      </w:r>
      <w:r w:rsidDel="00000000" w:rsidR="00000000" w:rsidRPr="00000000">
        <w:rPr>
          <w:rtl w:val="1"/>
        </w:rPr>
        <w:t xml:space="preserve"> (5).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86s6e1ctnij4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מנופי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שליטה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כלכליים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השליטה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במנועי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ובתעבורת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גולשים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Traffic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Distribution</w:t>
      </w:r>
      <w:r w:rsidDel="00000000" w:rsidR="00000000" w:rsidRPr="00000000">
        <w:rPr>
          <w:rtl w:val="1"/>
        </w:rPr>
        <w:t xml:space="preserve">) –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אלגוריתם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במנועי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חיפוש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ובמערכות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גילוי</w:t>
      </w:r>
      <w:r w:rsidDel="00000000" w:rsidR="00000000" w:rsidRPr="00000000">
        <w:rPr>
          <w:rtl w:val="1"/>
        </w:rPr>
        <w:t xml:space="preserve">” (</w:t>
      </w:r>
      <w:r w:rsidDel="00000000" w:rsidR="00000000" w:rsidRPr="00000000">
        <w:rPr>
          <w:i w:val="1"/>
          <w:rtl w:val="0"/>
        </w:rPr>
        <w:t xml:space="preserve">Discover Algorithms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– </w:t>
      </w:r>
      <w:r w:rsidDel="00000000" w:rsidR="00000000" w:rsidRPr="00000000">
        <w:rPr>
          <w:rtl w:val="1"/>
        </w:rPr>
        <w:t xml:space="preserve">פוגעת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עצמאיים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הנשענים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בריבוי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ובפלורליזם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התקשורתי</w:t>
      </w:r>
      <w:r w:rsidDel="00000000" w:rsidR="00000000" w:rsidRPr="00000000">
        <w:rPr>
          <w:rtl w:val="1"/>
        </w:rPr>
        <w:t xml:space="preserve"> (6).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pznhkbo8y5z4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ממצאים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תקציביים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–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הוכחה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למיסוד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השליטה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נתונים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תקציביים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מאמתים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מקריות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משולבות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וממוסד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דיווחים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ואזוריים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הוציא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־283 </w:t>
      </w:r>
      <w:r w:rsidDel="00000000" w:rsidR="00000000" w:rsidRPr="00000000">
        <w:rPr>
          <w:rtl w:val="1"/>
        </w:rPr>
        <w:t xml:space="preserve">מיליון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־13.8 </w:t>
      </w:r>
      <w:r w:rsidDel="00000000" w:rsidR="00000000" w:rsidRPr="00000000">
        <w:rPr>
          <w:rtl w:val="1"/>
        </w:rPr>
        <w:t xml:space="preserve">מיליון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אירו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ברבעון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שנת</w:t>
      </w:r>
      <w:r w:rsidDel="00000000" w:rsidR="00000000" w:rsidRPr="00000000">
        <w:rPr>
          <w:rtl w:val="1"/>
        </w:rPr>
        <w:t xml:space="preserve"> 2023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כמעט</w:t>
      </w:r>
      <w:r w:rsidDel="00000000" w:rsidR="00000000" w:rsidRPr="00000000">
        <w:rPr>
          <w:rtl w:val="1"/>
        </w:rPr>
        <w:t xml:space="preserve"> 40% </w:t>
      </w:r>
      <w:r w:rsidDel="00000000" w:rsidR="00000000" w:rsidRPr="00000000">
        <w:rPr>
          <w:rtl w:val="1"/>
        </w:rPr>
        <w:t xml:space="preserve">מתקציבו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1.63 </w:t>
      </w:r>
      <w:r w:rsidDel="00000000" w:rsidR="00000000" w:rsidRPr="00000000">
        <w:rPr>
          <w:rtl w:val="1"/>
        </w:rPr>
        <w:t xml:space="preserve">מיליארד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לירה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־80 </w:t>
      </w:r>
      <w:r w:rsidDel="00000000" w:rsidR="00000000" w:rsidRPr="00000000">
        <w:rPr>
          <w:rtl w:val="1"/>
        </w:rPr>
        <w:t xml:space="preserve">מיליון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אירו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מדובר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בהקצאה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שיועדה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לקמפיינים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הבחירות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הכלליות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האנליסט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כריסטוס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קונסטנטינידיס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0"/>
        </w:rPr>
        <w:t xml:space="preserve">International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Institute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Strategy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ממחישים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ממשל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Information Governance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בהיקף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ובתקצוב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למשרדי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קמפיינים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מקבילים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7,340 </w:t>
      </w:r>
      <w:r w:rsidDel="00000000" w:rsidR="00000000" w:rsidRPr="00000000">
        <w:rPr>
          <w:rtl w:val="1"/>
        </w:rPr>
        <w:t xml:space="preserve">חשבונות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טוויטר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X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הקשורים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שנחשפו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והוסרו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בשנת</w:t>
      </w:r>
      <w:r w:rsidDel="00000000" w:rsidR="00000000" w:rsidRPr="00000000">
        <w:rPr>
          <w:rtl w:val="1"/>
        </w:rPr>
        <w:t xml:space="preserve"> 2020, </w:t>
      </w:r>
      <w:r w:rsidDel="00000000" w:rsidR="00000000" w:rsidRPr="00000000">
        <w:rPr>
          <w:rtl w:val="1"/>
        </w:rPr>
        <w:t xml:space="preserve">ממחישים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המערכת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הציגו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“</w:t>
      </w:r>
      <w:r w:rsidDel="00000000" w:rsidR="00000000" w:rsidRPr="00000000">
        <w:rPr>
          <w:rtl w:val="1"/>
        </w:rPr>
        <w:t xml:space="preserve">צנזורה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פטריוטים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טורקים</w:t>
      </w:r>
      <w:r w:rsidDel="00000000" w:rsidR="00000000" w:rsidRPr="00000000">
        <w:rPr>
          <w:rtl w:val="1"/>
        </w:rPr>
        <w:t xml:space="preserve">” – </w:t>
      </w:r>
      <w:r w:rsidDel="00000000" w:rsidR="00000000" w:rsidRPr="00000000">
        <w:rPr>
          <w:rtl w:val="1"/>
        </w:rPr>
        <w:t xml:space="preserve">דוגמה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מובהקת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להיפוך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נרטיבי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Narrative Inversion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כקורבן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צנזורה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שליטה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היעדר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סנקציות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בינלאומיות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אפקטיביות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דיסאינפורמציה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נחשבת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למדינה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ממומן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ומנורמל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המשילות</w:t>
      </w:r>
      <w:r w:rsidDel="00000000" w:rsidR="00000000" w:rsidRPr="00000000">
        <w:rPr>
          <w:rtl w:val="1"/>
        </w:rPr>
        <w:t xml:space="preserve"> (7)(8)(9)(10)(11).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t0t1furabg2z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א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יוון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וקפריסין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וגבול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האיחוד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האירופי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big7jkhny2qa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נרטיבים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בזמן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אמת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משבר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האוורוס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Evros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)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כדוגמה</w:t>
      </w:r>
    </w:p>
    <w:p w:rsidR="00000000" w:rsidDel="00000000" w:rsidP="00000000" w:rsidRDefault="00000000" w:rsidRPr="00000000" w14:paraId="0000001C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בגבול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האוורוס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בשנת</w:t>
      </w:r>
      <w:r w:rsidDel="00000000" w:rsidR="00000000" w:rsidRPr="00000000">
        <w:rPr>
          <w:rtl w:val="1"/>
        </w:rPr>
        <w:t xml:space="preserve"> 2020, </w:t>
      </w:r>
      <w:r w:rsidDel="00000000" w:rsidR="00000000" w:rsidRPr="00000000">
        <w:rPr>
          <w:rtl w:val="1"/>
        </w:rPr>
        <w:t xml:space="preserve">ניהלו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מלחמת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נרטיבים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המסרים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המופצים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מטורקיה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האשימו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קטלני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כזב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i w:val="1"/>
          <w:rtl w:val="0"/>
        </w:rPr>
        <w:t xml:space="preserve">Fake News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).</w:t>
        <w:br w:type="textWrapping"/>
        <w:t xml:space="preserve"> </w:t>
      </w:r>
      <w:r w:rsidDel="00000000" w:rsidR="00000000" w:rsidRPr="00000000">
        <w:rPr>
          <w:rtl w:val="1"/>
        </w:rPr>
        <w:t xml:space="preserve">חקירות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עצמאיות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מבוססות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OSINT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rtl w:val="0"/>
        </w:rPr>
        <w:t xml:space="preserve">Open Source Intelligence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i w:val="1"/>
          <w:rtl w:val="0"/>
        </w:rPr>
        <w:t xml:space="preserve">Lighthouse Reports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Forensic Architecture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i w:val="1"/>
          <w:rtl w:val="0"/>
        </w:rPr>
        <w:t xml:space="preserve">Bellingcat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שיחזרו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והדחיות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הימיות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Pushbacks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והראו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ראיות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וספינים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מתנגשים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אחוד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אותן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הדגימו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פלטפורמות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דוברות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אנגלית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0"/>
        </w:rPr>
        <w:t xml:space="preserve">TRT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World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0"/>
        </w:rPr>
        <w:t xml:space="preserve">Anadolu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Agency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משמשות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כמגפון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בינלאומי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לנרטיבים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מקומיים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ומעניקות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גרסה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לגיטימית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בעיני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העולמית</w:t>
      </w:r>
      <w:r w:rsidDel="00000000" w:rsidR="00000000" w:rsidRPr="00000000">
        <w:rPr>
          <w:rtl w:val="1"/>
        </w:rPr>
        <w:t xml:space="preserve"> (12)(13)(14).</w:t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wyhp6fptjzj0" w:id="11"/>
      <w:bookmarkEnd w:id="11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הלבנת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דוקטרינות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רוויזיוניסטיות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באמצעות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תקשורת</w:t>
      </w:r>
    </w:p>
    <w:p w:rsidR="00000000" w:rsidDel="00000000" w:rsidP="00000000" w:rsidRDefault="00000000" w:rsidRPr="00000000" w14:paraId="0000001E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הדוקטרינה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המולדת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הכחולה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i w:val="1"/>
          <w:rtl w:val="0"/>
        </w:rPr>
        <w:t xml:space="preserve">Mavi Vatan / Blue Homeland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נולדה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כסיסמת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הטורקי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הליך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הלבנה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דוקטרינרית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i w:val="1"/>
          <w:rtl w:val="0"/>
        </w:rPr>
        <w:t xml:space="preserve">Doctrinal Laundering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): </w:t>
      </w:r>
      <w:r w:rsidDel="00000000" w:rsidR="00000000" w:rsidRPr="00000000">
        <w:rPr>
          <w:rtl w:val="1"/>
        </w:rPr>
        <w:t xml:space="preserve">בהדרגה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למושג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לגיטימי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בעיתונות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בתוכניות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ובמאמרי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שעמדות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טריטוריאליות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מקסימליסטיות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הוצגו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רגישות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לאומיות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ובהמשך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כעמדות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לגיטימיות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הבינלאומית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כתבות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תחקיר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יווניות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תיעדו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באימונים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ובתרגילים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Mavi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Vatan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תחושת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נוכחות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שגרתית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במים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שבמחלוקת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לטשטוש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ההבחנה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הצהרה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ריבונית</w:t>
      </w:r>
      <w:r w:rsidDel="00000000" w:rsidR="00000000" w:rsidRPr="00000000">
        <w:rPr>
          <w:rtl w:val="1"/>
        </w:rPr>
        <w:t xml:space="preserve"> (15)(16).</w:t>
      </w:r>
    </w:p>
    <w:p w:rsidR="00000000" w:rsidDel="00000000" w:rsidP="00000000" w:rsidRDefault="00000000" w:rsidRPr="00000000" w14:paraId="0000001F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aspkktxeluwl" w:id="12"/>
      <w:bookmarkEnd w:id="12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שכפול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נרטיבי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כראיה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משפטית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־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תקשורתית</w:t>
      </w:r>
    </w:p>
    <w:p w:rsidR="00000000" w:rsidDel="00000000" w:rsidP="00000000" w:rsidRDefault="00000000" w:rsidRPr="00000000" w14:paraId="00000020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בספטמבר</w:t>
      </w:r>
      <w:r w:rsidDel="00000000" w:rsidR="00000000" w:rsidRPr="00000000">
        <w:rPr>
          <w:rtl w:val="1"/>
        </w:rPr>
        <w:t xml:space="preserve"> 2025 </w:t>
      </w:r>
      <w:r w:rsidDel="00000000" w:rsidR="00000000" w:rsidRPr="00000000">
        <w:rPr>
          <w:rtl w:val="1"/>
        </w:rPr>
        <w:t xml:space="preserve">אירע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מובהק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צינור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ההפצה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הנרטיבי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i w:val="1"/>
          <w:rtl w:val="0"/>
        </w:rPr>
        <w:t xml:space="preserve">Narrative Pipeline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מאמרי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הצפון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הכבוש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קפריסין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ישראלית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בעיתון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i w:val="1"/>
          <w:rtl w:val="0"/>
        </w:rPr>
        <w:t xml:space="preserve">Israel Hayom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(29 </w:t>
      </w:r>
      <w:r w:rsidDel="00000000" w:rsidR="00000000" w:rsidRPr="00000000">
        <w:rPr>
          <w:rtl w:val="1"/>
        </w:rPr>
        <w:t xml:space="preserve">ביולי</w:t>
      </w:r>
      <w:r w:rsidDel="00000000" w:rsidR="00000000" w:rsidRPr="00000000">
        <w:rPr>
          <w:rtl w:val="1"/>
        </w:rPr>
        <w:t xml:space="preserve"> 2025) (17), </w:t>
      </w:r>
      <w:r w:rsidDel="00000000" w:rsidR="00000000" w:rsidRPr="00000000">
        <w:rPr>
          <w:rtl w:val="1"/>
        </w:rPr>
        <w:t xml:space="preserve">עשרות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טורקיים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i w:val="1"/>
          <w:rtl w:val="0"/>
        </w:rPr>
        <w:t xml:space="preserve">Hürriyet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Sabah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CNN Türk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Yeni Akit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Haber7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OdaTV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Diriliş Postası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Kıbrıs Postası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i w:val="1"/>
          <w:rtl w:val="0"/>
        </w:rPr>
        <w:t xml:space="preserve">Kıbrıs Türk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העתיקו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הכתבה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פורסם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i w:val="1"/>
          <w:rtl w:val="0"/>
        </w:rPr>
        <w:t xml:space="preserve">Times of Israel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i w:val="1"/>
          <w:rtl w:val="0"/>
        </w:rPr>
        <w:t xml:space="preserve">Israel Hayom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(18)(19).</w:t>
        <w:br w:type="textWrapping"/>
        <w:t xml:space="preserve"> </w:t>
      </w:r>
      <w:r w:rsidDel="00000000" w:rsidR="00000000" w:rsidRPr="00000000">
        <w:rPr>
          <w:rtl w:val="1"/>
        </w:rPr>
        <w:t xml:space="preserve">השגיאה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המשותפת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תקשורתית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Forensic Marker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המוכיחה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מרוכזת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חבילת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ממקור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כתבתי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X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2">
      <w:pPr>
        <w:bidi w:val="1"/>
        <w:spacing w:after="240" w:before="240" w:lineRule="auto"/>
        <w:ind w:left="600" w:right="600" w:firstLine="0"/>
        <w:jc w:val="both"/>
        <w:rPr/>
      </w:pPr>
      <w:r w:rsidDel="00000000" w:rsidR="00000000" w:rsidRPr="00000000">
        <w:rPr>
          <w:rtl w:val="0"/>
        </w:rPr>
        <w:t xml:space="preserve">“How Ankara mass-produces ‘news’: when even tiny errors are copy-pasted, untouched...</w:t>
        <w:br w:type="textWrapping"/>
        <w:t xml:space="preserve"> Yesterday, dozens of Turkish outlets all ran the same story, word-for-word... They claimed my analysis appeared in </w:t>
      </w:r>
      <w:r w:rsidDel="00000000" w:rsidR="00000000" w:rsidRPr="00000000">
        <w:rPr>
          <w:i w:val="1"/>
          <w:rtl w:val="0"/>
        </w:rPr>
        <w:t xml:space="preserve">Times of Israel</w:t>
      </w:r>
      <w:r w:rsidDel="00000000" w:rsidR="00000000" w:rsidRPr="00000000">
        <w:rPr>
          <w:rtl w:val="0"/>
        </w:rPr>
        <w:t xml:space="preserve"> when it actually ran in </w:t>
      </w:r>
      <w:r w:rsidDel="00000000" w:rsidR="00000000" w:rsidRPr="00000000">
        <w:rPr>
          <w:i w:val="1"/>
          <w:rtl w:val="0"/>
        </w:rPr>
        <w:t xml:space="preserve">Israel Hayom</w:t>
      </w:r>
      <w:r w:rsidDel="00000000" w:rsidR="00000000" w:rsidRPr="00000000">
        <w:rPr>
          <w:rtl w:val="0"/>
        </w:rPr>
        <w:t xml:space="preserve"> — the identical error across outlets is the giveaway.”</w:t>
        <w:br w:type="textWrapping"/>
        <w:t xml:space="preserve"> (24 September 2025)</w:t>
      </w:r>
    </w:p>
    <w:p w:rsidR="00000000" w:rsidDel="00000000" w:rsidP="00000000" w:rsidRDefault="00000000" w:rsidRPr="00000000" w14:paraId="00000023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i w:val="1"/>
          <w:rtl w:val="0"/>
        </w:rPr>
        <w:t xml:space="preserve">Geopolitico.gr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שהצביע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שהעתקה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שיטתית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זעירה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אינדיקציה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להזרמה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מתוזמרת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מרכזי</w:t>
      </w:r>
      <w:r w:rsidDel="00000000" w:rsidR="00000000" w:rsidRPr="00000000">
        <w:rPr>
          <w:rtl w:val="1"/>
        </w:rPr>
        <w:t xml:space="preserve"> (20).</w:t>
        <w:br w:type="textWrapping"/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בפרסומים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i w:val="1"/>
          <w:rtl w:val="0"/>
        </w:rPr>
        <w:t xml:space="preserve">Haber7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Yeni Akit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OdaTV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Kıbrıs Türk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i w:val="1"/>
          <w:rtl w:val="0"/>
        </w:rPr>
        <w:t xml:space="preserve">Kıbrıs Gazetesi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(23 </w:t>
      </w:r>
      <w:r w:rsidDel="00000000" w:rsidR="00000000" w:rsidRPr="00000000">
        <w:rPr>
          <w:rtl w:val="1"/>
        </w:rPr>
        <w:t xml:space="preserve">בספטמבר</w:t>
      </w:r>
      <w:r w:rsidDel="00000000" w:rsidR="00000000" w:rsidRPr="00000000">
        <w:rPr>
          <w:rtl w:val="1"/>
        </w:rPr>
        <w:t xml:space="preserve"> 2025) –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העתיקו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בסימני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הפיסוק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דפוס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משקף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הטורקית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חבילות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i w:val="1"/>
          <w:rtl w:val="0"/>
        </w:rPr>
        <w:t xml:space="preserve">Content Packages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שמנוסחות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הנשיאות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מופצות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סוכנויות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הממלכתיות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AA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DHA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İHA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המזוהות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השלטון</w:t>
      </w:r>
      <w:r w:rsidDel="00000000" w:rsidR="00000000" w:rsidRPr="00000000">
        <w:rPr>
          <w:rtl w:val="1"/>
        </w:rPr>
        <w:t xml:space="preserve"> (“</w:t>
      </w:r>
      <w:r w:rsidDel="00000000" w:rsidR="00000000" w:rsidRPr="00000000">
        <w:rPr>
          <w:rtl w:val="0"/>
        </w:rPr>
        <w:t xml:space="preserve">Pool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Media</w:t>
      </w:r>
      <w:r w:rsidDel="00000000" w:rsidR="00000000" w:rsidRPr="00000000">
        <w:rPr>
          <w:rtl w:val="1"/>
        </w:rPr>
        <w:t xml:space="preserve">”), </w:t>
      </w:r>
      <w:r w:rsidDel="00000000" w:rsidR="00000000" w:rsidRPr="00000000">
        <w:rPr>
          <w:rtl w:val="1"/>
        </w:rPr>
        <w:t xml:space="preserve">ומאומצות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בכפייה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קנסות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RTÜK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BİK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ואכיפת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</w:t>
      </w:r>
      <w:r w:rsidDel="00000000" w:rsidR="00000000" w:rsidRPr="00000000">
        <w:rPr>
          <w:rtl w:val="1"/>
        </w:rPr>
        <w:t xml:space="preserve"> 217/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חזרה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שיטתית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טריוויאלית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נפרדים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תאונה</w:t>
      </w:r>
      <w:r w:rsidDel="00000000" w:rsidR="00000000" w:rsidRPr="00000000">
        <w:rPr>
          <w:rtl w:val="1"/>
        </w:rPr>
        <w:t xml:space="preserve"> —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למשמעת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נרטיבית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ממוסדת</w:t>
      </w:r>
      <w:r w:rsidDel="00000000" w:rsidR="00000000" w:rsidRPr="00000000">
        <w:rPr>
          <w:rtl w:val="1"/>
        </w:rPr>
        <w:t xml:space="preserve"> (26)(27)(28).</w:t>
      </w:r>
    </w:p>
    <w:p w:rsidR="00000000" w:rsidDel="00000000" w:rsidP="00000000" w:rsidRDefault="00000000" w:rsidRPr="00000000" w14:paraId="00000025">
      <w:pPr>
        <w:bidi w:val="1"/>
        <w:spacing w:after="240" w:before="24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השלכה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אתונה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ניקוסיה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וירושלים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בעיתוני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חופשית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במשמעת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מכוונת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תוצרת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הייצוא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המכונה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z1pw6uzcbihq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ב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ישראל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–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נרטיבים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סביב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מלחמת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עזה</w:t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5uci8vj9lp0y" w:id="14"/>
      <w:bookmarkEnd w:id="14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מהירות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,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ודאות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וחותמת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DMM</w:t>
      </w:r>
    </w:p>
    <w:p w:rsidR="00000000" w:rsidDel="00000000" w:rsidP="00000000" w:rsidRDefault="00000000" w:rsidRPr="00000000" w14:paraId="00000028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־18 </w:t>
      </w:r>
      <w:r w:rsidDel="00000000" w:rsidR="00000000" w:rsidRPr="00000000">
        <w:rPr>
          <w:rtl w:val="1"/>
        </w:rPr>
        <w:t xml:space="preserve">באוקטובר</w:t>
      </w:r>
      <w:r w:rsidDel="00000000" w:rsidR="00000000" w:rsidRPr="00000000">
        <w:rPr>
          <w:rtl w:val="1"/>
        </w:rPr>
        <w:t xml:space="preserve"> 2023 </w:t>
      </w:r>
      <w:r w:rsidDel="00000000" w:rsidR="00000000" w:rsidRPr="00000000">
        <w:rPr>
          <w:rtl w:val="1"/>
        </w:rPr>
        <w:t xml:space="preserve">הכריז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DMM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הטענה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</w:t>
      </w:r>
      <w:r w:rsidDel="00000000" w:rsidR="00000000" w:rsidRPr="00000000">
        <w:rPr>
          <w:rtl w:val="1"/>
        </w:rPr>
        <w:t xml:space="preserve">’</w:t>
      </w:r>
      <w:r w:rsidDel="00000000" w:rsidR="00000000" w:rsidRPr="00000000">
        <w:rPr>
          <w:rtl w:val="1"/>
        </w:rPr>
        <w:t xml:space="preserve">יהאד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האיסלאמי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הפלסטיני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אחראי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לפיצוץ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בבית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החולים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אהלי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Al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Ahli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Hospital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שקרית</w:t>
      </w:r>
      <w:r w:rsidDel="00000000" w:rsidR="00000000" w:rsidRPr="00000000">
        <w:rPr>
          <w:rtl w:val="1"/>
        </w:rPr>
        <w:t xml:space="preserve">” –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הושלמה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סוכנות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Anadolu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דחייה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המוחלטת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X</w:t>
      </w:r>
      <w:r w:rsidDel="00000000" w:rsidR="00000000" w:rsidRPr="00000000">
        <w:rPr>
          <w:rtl w:val="1"/>
        </w:rPr>
        <w:t xml:space="preserve"> (29).</w:t>
        <w:br w:type="textWrapping"/>
        <w:t xml:space="preserve"> </w:t>
      </w:r>
      <w:r w:rsidDel="00000000" w:rsidR="00000000" w:rsidRPr="00000000">
        <w:rPr>
          <w:rtl w:val="1"/>
        </w:rPr>
        <w:t xml:space="preserve">במקביל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גופים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עצמאיים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0"/>
        </w:rPr>
        <w:t xml:space="preserve">Human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Rights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Watch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AFP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ועיתונות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חוקרת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פרסמו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ממצאים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סותרים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שהצביעו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תצלומים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ממוסגרים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וטעויות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בזיהוי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הירי</w:t>
      </w:r>
      <w:r w:rsidDel="00000000" w:rsidR="00000000" w:rsidRPr="00000000">
        <w:rPr>
          <w:rtl w:val="1"/>
        </w:rPr>
        <w:t xml:space="preserve"> (30)(31)(32).</w:t>
        <w:br w:type="textWrapping"/>
        <w:t xml:space="preserve"> </w:t>
      </w:r>
      <w:r w:rsidDel="00000000" w:rsidR="00000000" w:rsidRPr="00000000">
        <w:rPr>
          <w:rtl w:val="1"/>
        </w:rPr>
        <w:t xml:space="preserve">המדיה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הממשלתית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לעומת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המשיכה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להפיץ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הנשיאותיים</w:t>
      </w:r>
      <w:r w:rsidDel="00000000" w:rsidR="00000000" w:rsidRPr="00000000">
        <w:rPr>
          <w:rtl w:val="1"/>
        </w:rPr>
        <w:t xml:space="preserve"> (“</w:t>
      </w:r>
      <w:r w:rsidDel="00000000" w:rsidR="00000000" w:rsidRPr="00000000">
        <w:rPr>
          <w:rtl w:val="1"/>
        </w:rPr>
        <w:t xml:space="preserve">מדינת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טרור</w:t>
      </w:r>
      <w:r w:rsidDel="00000000" w:rsidR="00000000" w:rsidRPr="00000000">
        <w:rPr>
          <w:rtl w:val="1"/>
        </w:rPr>
        <w:t xml:space="preserve">”, “</w:t>
      </w:r>
      <w:r w:rsidDel="00000000" w:rsidR="00000000" w:rsidRPr="00000000">
        <w:rPr>
          <w:rtl w:val="1"/>
        </w:rPr>
        <w:t xml:space="preserve">טבח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בעזה</w:t>
      </w:r>
      <w:r w:rsidDel="00000000" w:rsidR="00000000" w:rsidRPr="00000000">
        <w:rPr>
          <w:rtl w:val="1"/>
        </w:rPr>
        <w:t xml:space="preserve">”), </w:t>
      </w:r>
      <w:r w:rsidDel="00000000" w:rsidR="00000000" w:rsidRPr="00000000">
        <w:rPr>
          <w:rtl w:val="1"/>
        </w:rPr>
        <w:t xml:space="preserve">ויצרה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הטורקי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שהעובדות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בתנועה</w:t>
      </w:r>
      <w:r w:rsidDel="00000000" w:rsidR="00000000" w:rsidRPr="00000000">
        <w:rPr>
          <w:rtl w:val="1"/>
        </w:rPr>
        <w:t xml:space="preserve"> (33)(34).</w:t>
      </w:r>
    </w:p>
    <w:p w:rsidR="00000000" w:rsidDel="00000000" w:rsidP="00000000" w:rsidRDefault="00000000" w:rsidRPr="00000000" w14:paraId="00000029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9dli1g3bomsy" w:id="15"/>
      <w:bookmarkEnd w:id="15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הערת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המחבר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–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התנסות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אישית</w:t>
      </w:r>
    </w:p>
    <w:p w:rsidR="00000000" w:rsidDel="00000000" w:rsidP="00000000" w:rsidRDefault="00000000" w:rsidRPr="00000000" w14:paraId="0000002A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הפיצוץ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אהלי</w:t>
      </w:r>
      <w:r w:rsidDel="00000000" w:rsidR="00000000" w:rsidRPr="00000000">
        <w:rPr>
          <w:rtl w:val="1"/>
        </w:rPr>
        <w:t xml:space="preserve"> (17–18 </w:t>
      </w:r>
      <w:r w:rsidDel="00000000" w:rsidR="00000000" w:rsidRPr="00000000">
        <w:rPr>
          <w:rtl w:val="1"/>
        </w:rPr>
        <w:t xml:space="preserve">באוקטובר</w:t>
      </w:r>
      <w:r w:rsidDel="00000000" w:rsidR="00000000" w:rsidRPr="00000000">
        <w:rPr>
          <w:rtl w:val="1"/>
        </w:rPr>
        <w:t xml:space="preserve"> 2023),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שכיהנתי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כסמנכ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וקהילה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Vp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for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External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Relations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בתעשייה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האווירית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לישראל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Israel Aerospace Industries – IAI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ניהלתי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תיאום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בינלאומיים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OSINT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עדכניים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סתירות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ולהפריך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הגרסה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הרשמית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כתבה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מאוחרת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i w:val="1"/>
          <w:rtl w:val="0"/>
        </w:rPr>
        <w:t xml:space="preserve">The Jerusalem Report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תיארה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כנקודת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נחשפתי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למנגנוני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הדיסאינפורמציה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חוויה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שהולידה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הנוכחי</w:t>
      </w:r>
      <w:r w:rsidDel="00000000" w:rsidR="00000000" w:rsidRPr="00000000">
        <w:rPr>
          <w:rtl w:val="1"/>
        </w:rPr>
        <w:t xml:space="preserve"> (35).</w:t>
      </w:r>
    </w:p>
    <w:p w:rsidR="00000000" w:rsidDel="00000000" w:rsidP="00000000" w:rsidRDefault="00000000" w:rsidRPr="00000000" w14:paraId="0000002B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מהתבוננות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למלחמת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נלחמה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בגבולותיה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הדיגיטלי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שכתבתי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במאמרי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i w:val="1"/>
          <w:rtl w:val="0"/>
        </w:rPr>
        <w:t xml:space="preserve">Times of Israel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“</w:t>
      </w:r>
      <w:r w:rsidDel="00000000" w:rsidR="00000000" w:rsidRPr="00000000">
        <w:rPr>
          <w:rtl w:val="0"/>
        </w:rPr>
        <w:t xml:space="preserve">Defending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Reality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Against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Age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Deception</w:t>
      </w:r>
      <w:r w:rsidDel="00000000" w:rsidR="00000000" w:rsidRPr="00000000">
        <w:rPr>
          <w:rtl w:val="1"/>
        </w:rPr>
        <w:t xml:space="preserve">”, </w:t>
      </w:r>
      <w:r w:rsidDel="00000000" w:rsidR="00000000" w:rsidRPr="00000000">
        <w:rPr>
          <w:rtl w:val="1"/>
        </w:rPr>
        <w:t xml:space="preserve">מתקפת</w:t>
      </w:r>
      <w:r w:rsidDel="00000000" w:rsidR="00000000" w:rsidRPr="00000000">
        <w:rPr>
          <w:rtl w:val="1"/>
        </w:rPr>
        <w:t xml:space="preserve"> 7 </w:t>
      </w:r>
      <w:r w:rsidDel="00000000" w:rsidR="00000000" w:rsidRPr="00000000">
        <w:rPr>
          <w:rtl w:val="1"/>
        </w:rPr>
        <w:t xml:space="preserve">באוקטובר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אכזריות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שבריריות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העובדות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הדיגיטלי</w:t>
      </w:r>
      <w:r w:rsidDel="00000000" w:rsidR="00000000" w:rsidRPr="00000000">
        <w:rPr>
          <w:rtl w:val="1"/>
        </w:rPr>
        <w:t xml:space="preserve"> (36).</w:t>
        <w:br w:type="textWrapping"/>
        <w:t xml:space="preserve"> </w:t>
      </w:r>
      <w:r w:rsidDel="00000000" w:rsidR="00000000" w:rsidRPr="00000000">
        <w:rPr>
          <w:rtl w:val="1"/>
        </w:rPr>
        <w:t xml:space="preserve">הצוות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בהובלתי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</w:t>
      </w:r>
      <w:r w:rsidDel="00000000" w:rsidR="00000000" w:rsidRPr="00000000">
        <w:rPr>
          <w:rtl w:val="1"/>
        </w:rPr>
        <w:t xml:space="preserve"> 24/7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שהעבירה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ערכות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מסרים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מאומתות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לוודא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שגורמים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בינלאומיים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מבוסס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אלגוריתמיות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החוויה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מערכתית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דיסאינפורמציה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פוליטי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בביטחון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אחרות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מאוקראינה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למזרח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התיכון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עיוות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העובדות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אסטרטגי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D">
      <w:pPr>
        <w:bidi w:val="1"/>
        <w:spacing w:after="240" w:before="24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השלכה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תכנונית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לישראל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DMM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גרסה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ודאית</w:t>
      </w:r>
      <w:r w:rsidDel="00000000" w:rsidR="00000000" w:rsidRPr="00000000">
        <w:rPr>
          <w:rtl w:val="1"/>
        </w:rPr>
        <w:t xml:space="preserve">”, </w:t>
      </w:r>
      <w:r w:rsidDel="00000000" w:rsidR="00000000" w:rsidRPr="00000000">
        <w:rPr>
          <w:rtl w:val="1"/>
        </w:rPr>
        <w:t xml:space="preserve">התודעה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הטורקית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ננעלת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תיאוריית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הדיסאינפורמציה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המסגרות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הראשונות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הן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הדביקות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ביותר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rtl w:val="1"/>
        </w:rPr>
        <w:t xml:space="preserve">לכן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להשקיע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i w:val="1"/>
          <w:rtl w:val="0"/>
        </w:rPr>
        <w:t xml:space="preserve">Pre-Bunking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הפרכת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צפויות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הטורקית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להסתפק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בהפרכה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מאוחרת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y2dydaw47w2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ג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ארצות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הברית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ופוליטיקת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נאט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״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ו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2F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bjb3hox74fh9" w:id="17"/>
      <w:bookmarkEnd w:id="17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נרטיב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הקורבן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האשמת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וושינגטון</w:t>
      </w:r>
    </w:p>
    <w:p w:rsidR="00000000" w:rsidDel="00000000" w:rsidP="00000000" w:rsidRDefault="00000000" w:rsidRPr="00000000" w14:paraId="00000030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בכירי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טוענים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בעקביות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ארה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מאחורי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ההפיכה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בשנת</w:t>
      </w:r>
      <w:r w:rsidDel="00000000" w:rsidR="00000000" w:rsidRPr="00000000">
        <w:rPr>
          <w:rtl w:val="1"/>
        </w:rPr>
        <w:t xml:space="preserve"> 2016 – </w:t>
      </w:r>
      <w:r w:rsidDel="00000000" w:rsidR="00000000" w:rsidRPr="00000000">
        <w:rPr>
          <w:rtl w:val="1"/>
        </w:rPr>
        <w:t xml:space="preserve">טענה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שנבדקה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והופרכה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אמריקאיים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וארגוני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עובדות</w:t>
      </w:r>
      <w:r w:rsidDel="00000000" w:rsidR="00000000" w:rsidRPr="00000000">
        <w:rPr>
          <w:rtl w:val="1"/>
        </w:rPr>
        <w:t xml:space="preserve"> (37)(38). </w:t>
      </w:r>
      <w:r w:rsidDel="00000000" w:rsidR="00000000" w:rsidRPr="00000000">
        <w:rPr>
          <w:rtl w:val="1"/>
        </w:rPr>
        <w:t xml:space="preserve">למרות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נשלפת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שהמשטר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להצדיק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צעדי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דיכוי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חוץ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1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st6ex07qzum2" w:id="18"/>
      <w:bookmarkEnd w:id="18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המשבר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הכלכלי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כנשק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נרטיבי</w:t>
      </w:r>
    </w:p>
    <w:p w:rsidR="00000000" w:rsidDel="00000000" w:rsidP="00000000" w:rsidRDefault="00000000" w:rsidRPr="00000000" w14:paraId="00000032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בקריסת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בשנת</w:t>
      </w:r>
      <w:r w:rsidDel="00000000" w:rsidR="00000000" w:rsidRPr="00000000">
        <w:rPr>
          <w:rtl w:val="1"/>
        </w:rPr>
        <w:t xml:space="preserve"> 2018, </w:t>
      </w:r>
      <w:r w:rsidDel="00000000" w:rsidR="00000000" w:rsidRPr="00000000">
        <w:rPr>
          <w:rtl w:val="1"/>
        </w:rPr>
        <w:t xml:space="preserve">פתחה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בחקירות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מפיצי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המטבע</w:t>
      </w:r>
      <w:r w:rsidDel="00000000" w:rsidR="00000000" w:rsidRPr="00000000">
        <w:rPr>
          <w:rtl w:val="1"/>
        </w:rPr>
        <w:t xml:space="preserve">”, </w:t>
      </w:r>
      <w:r w:rsidDel="00000000" w:rsidR="00000000" w:rsidRPr="00000000">
        <w:rPr>
          <w:rtl w:val="1"/>
        </w:rPr>
        <w:t xml:space="preserve">והציגה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הפיננסי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”</w:t>
      </w:r>
      <w:r w:rsidDel="00000000" w:rsidR="00000000" w:rsidRPr="00000000">
        <w:rPr>
          <w:rtl w:val="1"/>
        </w:rPr>
        <w:t xml:space="preserve">מלחמת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” (</w:t>
      </w:r>
      <w:r w:rsidDel="00000000" w:rsidR="00000000" w:rsidRPr="00000000">
        <w:rPr>
          <w:i w:val="1"/>
          <w:rtl w:val="0"/>
        </w:rPr>
        <w:t xml:space="preserve">Information Warfare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חוזרת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העברת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מגורמים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כלכליים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לגורמים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דמיוניים</w:t>
      </w:r>
      <w:r w:rsidDel="00000000" w:rsidR="00000000" w:rsidRPr="00000000">
        <w:rPr>
          <w:rtl w:val="1"/>
        </w:rPr>
        <w:t xml:space="preserve"> (39)(40)(41).</w:t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yovv5hvd9jw6" w:id="19"/>
      <w:bookmarkEnd w:id="19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מתיחות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בריתית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והאשמות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במדיה</w:t>
      </w:r>
    </w:p>
    <w:p w:rsidR="00000000" w:rsidDel="00000000" w:rsidP="00000000" w:rsidRDefault="00000000" w:rsidRPr="00000000" w14:paraId="00000034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במאבק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הצטרפות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שוודיה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לנאט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ובתקופות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וושינגטון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ובריסל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הפיצו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המזוהים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המערב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תומכות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0"/>
        </w:rPr>
        <w:t xml:space="preserve">PKK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פועלות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הריבונות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הטורקית</w:t>
      </w:r>
      <w:r w:rsidDel="00000000" w:rsidR="00000000" w:rsidRPr="00000000">
        <w:rPr>
          <w:rtl w:val="1"/>
        </w:rPr>
        <w:t xml:space="preserve">” – </w:t>
      </w:r>
      <w:r w:rsidDel="00000000" w:rsidR="00000000" w:rsidRPr="00000000">
        <w:rPr>
          <w:rtl w:val="1"/>
        </w:rPr>
        <w:t xml:space="preserve">טענות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שהופרכו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בפומבי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סטוקהולם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וושינגטון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האירופי</w:t>
      </w:r>
      <w:r w:rsidDel="00000000" w:rsidR="00000000" w:rsidRPr="00000000">
        <w:rPr>
          <w:rtl w:val="1"/>
        </w:rPr>
        <w:t xml:space="preserve"> (42).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4ybwxmtm0ekb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ד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ארמניה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–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הכחשת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רצח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העם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כמדיניות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רשמית</w:t>
      </w:r>
    </w:p>
    <w:p w:rsidR="00000000" w:rsidDel="00000000" w:rsidP="00000000" w:rsidRDefault="00000000" w:rsidRPr="00000000" w14:paraId="00000036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29a55dchk9iq" w:id="21"/>
      <w:bookmarkEnd w:id="21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מסגור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ממלכתי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של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ההכחשה</w:t>
      </w:r>
    </w:p>
    <w:p w:rsidR="00000000" w:rsidDel="00000000" w:rsidP="00000000" w:rsidRDefault="00000000" w:rsidRPr="00000000" w14:paraId="00000037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הטורקי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פורטל</w:t>
      </w:r>
      <w:r w:rsidDel="00000000" w:rsidR="00000000" w:rsidRPr="00000000">
        <w:rPr>
          <w:rtl w:val="1"/>
        </w:rPr>
        <w:t xml:space="preserve"> “1915” </w:t>
      </w:r>
      <w:r w:rsidDel="00000000" w:rsidR="00000000" w:rsidRPr="00000000">
        <w:rPr>
          <w:rtl w:val="1"/>
        </w:rPr>
        <w:t xml:space="preserve">המציג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האירועים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“</w:t>
      </w:r>
      <w:r w:rsidDel="00000000" w:rsidR="00000000" w:rsidRPr="00000000">
        <w:rPr>
          <w:rtl w:val="1"/>
        </w:rPr>
        <w:t xml:space="preserve">העברות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אוכלוסייה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מלחמה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“</w:t>
      </w:r>
      <w:r w:rsidDel="00000000" w:rsidR="00000000" w:rsidRPr="00000000">
        <w:rPr>
          <w:rtl w:val="1"/>
        </w:rPr>
        <w:t xml:space="preserve">סבל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הדדי</w:t>
      </w:r>
      <w:r w:rsidDel="00000000" w:rsidR="00000000" w:rsidRPr="00000000">
        <w:rPr>
          <w:rtl w:val="1"/>
        </w:rPr>
        <w:t xml:space="preserve">” –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כרצח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Genocide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המסגור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בהצהרות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ובקמפיינים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חינוכיים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המאדירים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ההיסטוריה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הטורקית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המאוחדת</w:t>
      </w:r>
      <w:r w:rsidDel="00000000" w:rsidR="00000000" w:rsidRPr="00000000">
        <w:rPr>
          <w:rtl w:val="1"/>
        </w:rPr>
        <w:t xml:space="preserve">” (43)(44).</w:t>
      </w:r>
    </w:p>
    <w:p w:rsidR="00000000" w:rsidDel="00000000" w:rsidP="00000000" w:rsidRDefault="00000000" w:rsidRPr="00000000" w14:paraId="00000038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4gctul7brois" w:id="22"/>
      <w:bookmarkEnd w:id="22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אכיפה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וייצוא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של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ההכחשה</w:t>
      </w:r>
    </w:p>
    <w:p w:rsidR="00000000" w:rsidDel="00000000" w:rsidP="00000000" w:rsidRDefault="00000000" w:rsidRPr="00000000" w14:paraId="00000039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הכחשת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נאכפת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צעדי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RTÜK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תביעות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והפללה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אזכורים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ומיוצאת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באנגלית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DMM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דיפלומטיים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ובכך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המאבק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בדיסאינפורמציה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חוץ</w:t>
      </w:r>
      <w:r w:rsidDel="00000000" w:rsidR="00000000" w:rsidRPr="00000000">
        <w:rPr>
          <w:rtl w:val="1"/>
        </w:rPr>
        <w:t xml:space="preserve"> (45)(46).</w:t>
      </w:r>
    </w:p>
    <w:p w:rsidR="00000000" w:rsidDel="00000000" w:rsidP="00000000" w:rsidRDefault="00000000" w:rsidRPr="00000000" w14:paraId="0000003A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2024–2025 </w:t>
      </w:r>
      <w:r w:rsidDel="00000000" w:rsidR="00000000" w:rsidRPr="00000000">
        <w:rPr>
          <w:rtl w:val="1"/>
        </w:rPr>
        <w:t xml:space="preserve">שללה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RTÜK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רישיון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i w:val="1"/>
          <w:rtl w:val="0"/>
        </w:rPr>
        <w:t xml:space="preserve">Açık Radyo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שאורח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המונח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רצח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הארמני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בשידור</w:t>
      </w:r>
      <w:r w:rsidDel="00000000" w:rsidR="00000000" w:rsidRPr="00000000">
        <w:rPr>
          <w:rtl w:val="1"/>
        </w:rPr>
        <w:t xml:space="preserve"> 24 </w:t>
      </w:r>
      <w:r w:rsidDel="00000000" w:rsidR="00000000" w:rsidRPr="00000000">
        <w:rPr>
          <w:rtl w:val="1"/>
        </w:rPr>
        <w:t xml:space="preserve">באפריל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הצעד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ארגוני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העיתונות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והוצג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כתוצאה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הסתה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לשנאה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סעיף</w:t>
      </w:r>
      <w:r w:rsidDel="00000000" w:rsidR="00000000" w:rsidRPr="00000000">
        <w:rPr>
          <w:rtl w:val="1"/>
        </w:rPr>
        <w:t xml:space="preserve"> 8 </w:t>
      </w:r>
      <w:r w:rsidDel="00000000" w:rsidR="00000000" w:rsidRPr="00000000">
        <w:rPr>
          <w:rtl w:val="1"/>
        </w:rPr>
        <w:t xml:space="preserve">לחוק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השידור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מס</w:t>
      </w:r>
      <w:r w:rsidDel="00000000" w:rsidR="00000000" w:rsidRPr="00000000">
        <w:rPr>
          <w:rtl w:val="1"/>
        </w:rPr>
        <w:t xml:space="preserve">׳ 6112) – </w:t>
      </w:r>
      <w:r w:rsidDel="00000000" w:rsidR="00000000" w:rsidRPr="00000000">
        <w:rPr>
          <w:rtl w:val="1"/>
        </w:rPr>
        <w:t xml:space="preserve">בעוד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מטרתו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חיזוק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ההכחשה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והפיכת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הזיכרון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ההיסטורי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כזב</w:t>
      </w:r>
      <w:r w:rsidDel="00000000" w:rsidR="00000000" w:rsidRPr="00000000">
        <w:rPr>
          <w:rtl w:val="1"/>
        </w:rPr>
        <w:t xml:space="preserve">" (47)(48).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5v8tvtn45lhy" w:id="23"/>
      <w:bookmarkEnd w:id="23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מצרים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–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ההגברה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בערבית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וציר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לוב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־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עזה</w:t>
      </w:r>
    </w:p>
    <w:p w:rsidR="00000000" w:rsidDel="00000000" w:rsidP="00000000" w:rsidRDefault="00000000" w:rsidRPr="00000000" w14:paraId="0000003C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מאז</w:t>
      </w:r>
      <w:r w:rsidDel="00000000" w:rsidR="00000000" w:rsidRPr="00000000">
        <w:rPr>
          <w:rtl w:val="1"/>
        </w:rPr>
        <w:t xml:space="preserve"> 2019 </w:t>
      </w:r>
      <w:r w:rsidDel="00000000" w:rsidR="00000000" w:rsidRPr="00000000">
        <w:rPr>
          <w:rtl w:val="1"/>
        </w:rPr>
        <w:t xml:space="preserve">משתמשת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בארסנל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בערבית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TRT Arabi, Anadolu Arabic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וערבית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ולוב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ביקורתי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מוחמד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מורסי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חסמה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קהיר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TRT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Arabi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0"/>
        </w:rPr>
        <w:t xml:space="preserve">Anadolu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Arabic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סימן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למלחמת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מתפתחת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למרות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חידוש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־2024–2025 </w:t>
      </w:r>
      <w:r w:rsidDel="00000000" w:rsidR="00000000" w:rsidRPr="00000000">
        <w:rPr>
          <w:rtl w:val="1"/>
        </w:rPr>
        <w:t xml:space="preserve">וקיום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בספטמבר</w:t>
      </w:r>
      <w:r w:rsidDel="00000000" w:rsidR="00000000" w:rsidRPr="00000000">
        <w:rPr>
          <w:rtl w:val="1"/>
        </w:rPr>
        <w:t xml:space="preserve"> 2025, </w:t>
      </w:r>
      <w:r w:rsidDel="00000000" w:rsidR="00000000" w:rsidRPr="00000000">
        <w:rPr>
          <w:rtl w:val="1"/>
        </w:rPr>
        <w:t xml:space="preserve">המאבק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הנרטיבי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נמשך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מתוחכמת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ערוצי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הטורקיים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בערבית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קהיר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לסירוגין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כמתווכת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כחלשה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ותלותית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במערב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נרטיבים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שנועדו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לעיצוב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מועתקים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הלובי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בנוגע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לבנק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ביצוא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ולגבולות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סירתה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ופרה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נאמנים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לטורקיה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ומחליש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קהיר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חוקרים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אקו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סיסטם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הדיסאינפורמציה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שילוב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ממלכתית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דיפלומטיים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חוצה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גבולות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Cross-Border Amplifier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נרטיבים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טורקיים</w:t>
      </w:r>
      <w:r w:rsidDel="00000000" w:rsidR="00000000" w:rsidRPr="00000000">
        <w:rPr>
          <w:rtl w:val="1"/>
        </w:rPr>
        <w:t xml:space="preserve"> (56).</w:t>
      </w:r>
    </w:p>
    <w:p w:rsidR="00000000" w:rsidDel="00000000" w:rsidP="00000000" w:rsidRDefault="00000000" w:rsidRPr="00000000" w14:paraId="0000003D">
      <w:pPr>
        <w:bidi w:val="1"/>
        <w:spacing w:after="240" w:before="24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הפרדוקס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הפיוס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דווקא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חידוש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הדיפלומטיים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החדירה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הנרטיבית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כשאיבה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פורמלית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נמוגה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המסרים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בעדינות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מילוליות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כגון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תיווך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מהוסס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הגנה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רכה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מחלישות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ההרתעה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קהיר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ומאלצות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להשקיע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אנרגיה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בהכחשה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תדמיתית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מהותית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E">
      <w:pPr>
        <w:bidi w:val="1"/>
        <w:spacing w:after="240" w:before="24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השלכה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אסטרטגית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האתגר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פרופגנדה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קלאסית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שדה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חיכוך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נרטיבי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i w:val="1"/>
          <w:rtl w:val="0"/>
        </w:rPr>
        <w:t xml:space="preserve">Narrative Friction Zone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בתשומת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ובמינון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וכך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מכבידה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קהיר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נרטיבי</w:t>
      </w:r>
      <w:r w:rsidDel="00000000" w:rsidR="00000000" w:rsidRPr="00000000">
        <w:rPr>
          <w:rtl w:val="1"/>
        </w:rPr>
        <w:t xml:space="preserve">” (</w:t>
      </w:r>
      <w:r w:rsidDel="00000000" w:rsidR="00000000" w:rsidRPr="00000000">
        <w:rPr>
          <w:i w:val="1"/>
          <w:rtl w:val="0"/>
        </w:rPr>
        <w:t xml:space="preserve">Narrative Tax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אזורי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zhccn8o7dlqz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ו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הודו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–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מבצע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Sindoor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והציר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המשולש</w:t>
      </w:r>
    </w:p>
    <w:p w:rsidR="00000000" w:rsidDel="00000000" w:rsidP="00000000" w:rsidRDefault="00000000" w:rsidRPr="00000000" w14:paraId="00000040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Sindoor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מאי</w:t>
      </w:r>
      <w:r w:rsidDel="00000000" w:rsidR="00000000" w:rsidRPr="00000000">
        <w:rPr>
          <w:rtl w:val="1"/>
        </w:rPr>
        <w:t xml:space="preserve"> 2025) </w:t>
      </w:r>
      <w:r w:rsidDel="00000000" w:rsidR="00000000" w:rsidRPr="00000000">
        <w:rPr>
          <w:rtl w:val="1"/>
        </w:rPr>
        <w:t xml:space="preserve">התמודדה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משולש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דיסאינפורמציה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שמוצאו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בפקיסטן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ומוגבר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ממשלתיים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הלשכה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הממשלה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בניו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דלהי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דיווחה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קמפיינים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נרחבים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ופרופגנדה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שמגיעים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ברובם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להודו</w:t>
      </w:r>
      <w:r w:rsidDel="00000000" w:rsidR="00000000" w:rsidRPr="00000000">
        <w:rPr>
          <w:rtl w:val="1"/>
        </w:rPr>
        <w:t xml:space="preserve">”, </w:t>
      </w:r>
      <w:r w:rsidDel="00000000" w:rsidR="00000000" w:rsidRPr="00000000">
        <w:rPr>
          <w:rtl w:val="1"/>
        </w:rPr>
        <w:t xml:space="preserve">והפעילה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תגובה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לחשיפתם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כתגובה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מיידית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X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החשבונות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TRT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World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מובהקת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שפרסמו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מזויפים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וערוכים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ההודי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־15% </w:t>
      </w:r>
      <w:r w:rsidDel="00000000" w:rsidR="00000000" w:rsidRPr="00000000">
        <w:rPr>
          <w:rtl w:val="1"/>
        </w:rPr>
        <w:t xml:space="preserve">מזמן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המבצעי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הוקדש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דיסאינפורמציה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נתון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ללקח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דוקטרינרי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רשמי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Information Integrity Capacity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הפכה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למרכיב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מבצעי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כשלעצמו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חוקרים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תיעדו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פקיסטניות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מתואמות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0"/>
        </w:rPr>
        <w:t xml:space="preserve">X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שפעלו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המבצע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שחתרו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תדמית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יצרני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הצרפתיים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Rafale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השילוב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הטורקי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פקיסטני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סיני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הדיסאינפורמציה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לדביקה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נרטיב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נטען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בשיתוף</w:t>
      </w:r>
      <w:r w:rsidDel="00000000" w:rsidR="00000000" w:rsidRPr="00000000">
        <w:rPr>
          <w:rtl w:val="1"/>
        </w:rPr>
        <w:t xml:space="preserve">” (</w:t>
      </w:r>
      <w:r w:rsidDel="00000000" w:rsidR="00000000" w:rsidRPr="00000000">
        <w:rPr>
          <w:i w:val="1"/>
          <w:rtl w:val="0"/>
        </w:rPr>
        <w:t xml:space="preserve">Narrative Load-Sharing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שהקשה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הודו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לנקות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התודעתי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1">
      <w:pPr>
        <w:bidi w:val="1"/>
        <w:spacing w:after="240" w:before="24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מסקנה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אסטרטגית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לתמחר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ותשומת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כמשאב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מבצעי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בעידן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בייג</w:t>
      </w:r>
      <w:r w:rsidDel="00000000" w:rsidR="00000000" w:rsidRPr="00000000">
        <w:rPr>
          <w:rtl w:val="1"/>
        </w:rPr>
        <w:t xml:space="preserve">׳</w:t>
      </w:r>
      <w:r w:rsidDel="00000000" w:rsidR="00000000" w:rsidRPr="00000000">
        <w:rPr>
          <w:rtl w:val="1"/>
        </w:rPr>
        <w:t xml:space="preserve">ינג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ואיסלמבאד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השליטה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ובזרימה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הנרטיבית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בשטח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bidi w:val="1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rmxq4ofpzou4" w:id="25"/>
      <w:bookmarkEnd w:id="25"/>
      <w:r w:rsidDel="00000000" w:rsidR="00000000" w:rsidRPr="00000000">
        <w:rPr>
          <w:b w:val="1"/>
          <w:sz w:val="34"/>
          <w:szCs w:val="34"/>
          <w:rtl w:val="0"/>
        </w:rPr>
        <w:t xml:space="preserve">III</w:t>
      </w:r>
      <w:r w:rsidDel="00000000" w:rsidR="00000000" w:rsidRPr="00000000">
        <w:rPr>
          <w:b w:val="1"/>
          <w:sz w:val="34"/>
          <w:szCs w:val="34"/>
          <w:rtl w:val="1"/>
        </w:rPr>
        <w:t xml:space="preserve">. </w:t>
      </w:r>
      <w:r w:rsidDel="00000000" w:rsidR="00000000" w:rsidRPr="00000000">
        <w:rPr>
          <w:b w:val="1"/>
          <w:sz w:val="34"/>
          <w:szCs w:val="34"/>
          <w:rtl w:val="1"/>
        </w:rPr>
        <w:t xml:space="preserve">החידוש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של</w:t>
      </w:r>
      <w:r w:rsidDel="00000000" w:rsidR="00000000" w:rsidRPr="00000000">
        <w:rPr>
          <w:b w:val="1"/>
          <w:sz w:val="34"/>
          <w:szCs w:val="34"/>
          <w:rtl w:val="1"/>
        </w:rPr>
        <w:t xml:space="preserve"> 2025: “</w:t>
      </w:r>
      <w:r w:rsidDel="00000000" w:rsidR="00000000" w:rsidRPr="00000000">
        <w:rPr>
          <w:b w:val="1"/>
          <w:sz w:val="34"/>
          <w:szCs w:val="34"/>
          <w:rtl w:val="1"/>
        </w:rPr>
        <w:t xml:space="preserve">דיסאינפורמציה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באש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ידידותית</w:t>
      </w:r>
      <w:r w:rsidDel="00000000" w:rsidR="00000000" w:rsidRPr="00000000">
        <w:rPr>
          <w:b w:val="1"/>
          <w:sz w:val="34"/>
          <w:szCs w:val="34"/>
          <w:rtl w:val="1"/>
        </w:rPr>
        <w:t xml:space="preserve">” </w:t>
      </w:r>
      <w:r w:rsidDel="00000000" w:rsidR="00000000" w:rsidRPr="00000000">
        <w:rPr>
          <w:b w:val="1"/>
          <w:sz w:val="34"/>
          <w:szCs w:val="34"/>
          <w:rtl w:val="1"/>
        </w:rPr>
        <w:t xml:space="preserve">נגד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אזרבייג</w:t>
      </w:r>
      <w:r w:rsidDel="00000000" w:rsidR="00000000" w:rsidRPr="00000000">
        <w:rPr>
          <w:b w:val="1"/>
          <w:sz w:val="34"/>
          <w:szCs w:val="34"/>
          <w:rtl w:val="1"/>
        </w:rPr>
        <w:t xml:space="preserve">׳</w:t>
      </w:r>
      <w:r w:rsidDel="00000000" w:rsidR="00000000" w:rsidRPr="00000000">
        <w:rPr>
          <w:b w:val="1"/>
          <w:sz w:val="34"/>
          <w:szCs w:val="34"/>
          <w:rtl w:val="1"/>
        </w:rPr>
        <w:t xml:space="preserve">ן</w:t>
      </w:r>
    </w:p>
    <w:p w:rsidR="00000000" w:rsidDel="00000000" w:rsidP="00000000" w:rsidRDefault="00000000" w:rsidRPr="00000000" w14:paraId="00000043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The 2025 Novelty: “Friendly-Fire Disinformation” Against Azerbaijan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zi16wu3osidk" w:id="26"/>
      <w:bookmarkEnd w:id="26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נסיגה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ברשת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הברית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הנרטיבית</w:t>
      </w:r>
    </w:p>
    <w:p w:rsidR="00000000" w:rsidDel="00000000" w:rsidP="00000000" w:rsidRDefault="00000000" w:rsidRPr="00000000" w14:paraId="00000045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ספטמבר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לאוקטובר</w:t>
      </w:r>
      <w:r w:rsidDel="00000000" w:rsidR="00000000" w:rsidRPr="00000000">
        <w:rPr>
          <w:rtl w:val="1"/>
        </w:rPr>
        <w:t xml:space="preserve"> 2025 </w:t>
      </w:r>
      <w:r w:rsidDel="00000000" w:rsidR="00000000" w:rsidRPr="00000000">
        <w:rPr>
          <w:rtl w:val="1"/>
        </w:rPr>
        <w:t xml:space="preserve">פרצו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הדדיות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חריגות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לטורקיים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עיתונים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בולטים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בבאקו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האשימו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קמפיין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כוזבות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i w:val="1"/>
          <w:rtl w:val="0"/>
        </w:rPr>
        <w:t xml:space="preserve">Fake News Campaign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שנועד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לפגוע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באזרבייג</w:t>
      </w:r>
      <w:r w:rsidDel="00000000" w:rsidR="00000000" w:rsidRPr="00000000">
        <w:rPr>
          <w:rtl w:val="1"/>
        </w:rPr>
        <w:t xml:space="preserve">׳</w:t>
      </w:r>
      <w:r w:rsidDel="00000000" w:rsidR="00000000" w:rsidRPr="00000000">
        <w:rPr>
          <w:rtl w:val="1"/>
        </w:rPr>
        <w:t xml:space="preserve">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וציינו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רמז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למניע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ולתיאום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פוליטי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מאורגן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מהפרסומים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המזויפים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מוטיבים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האנטי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ישראלי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מזויפות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טענות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בבאקו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סיפורים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מופרכים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שיתופי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תרבותיים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האירופי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מטרתם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כפולה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ללטף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הטורקית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ולהוכיח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נאמנות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פלסטינית</w:t>
      </w:r>
      <w:r w:rsidDel="00000000" w:rsidR="00000000" w:rsidRPr="00000000">
        <w:rPr>
          <w:rtl w:val="1"/>
        </w:rPr>
        <w:t xml:space="preserve">”,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הימנעות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מהעמדת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שפוגעת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פומבית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בשותפתה</w:t>
      </w:r>
      <w:r w:rsidDel="00000000" w:rsidR="00000000" w:rsidRPr="00000000">
        <w:rPr>
          <w:rtl w:val="1"/>
        </w:rPr>
        <w:t xml:space="preserve">. (49)(50)(51)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lj9ekp544ta0" w:id="27"/>
      <w:bookmarkEnd w:id="27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תלונה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רשמית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של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באקו</w:t>
      </w:r>
    </w:p>
    <w:p w:rsidR="00000000" w:rsidDel="00000000" w:rsidP="00000000" w:rsidRDefault="00000000" w:rsidRPr="00000000" w14:paraId="00000047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בסוף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ספטמבר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סוכנות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האזרית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i w:val="1"/>
          <w:rtl w:val="0"/>
        </w:rPr>
        <w:t xml:space="preserve">APA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חריג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האנגלית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הכותרת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8">
      <w:pPr>
        <w:bidi w:val="1"/>
        <w:spacing w:after="240" w:before="240" w:lineRule="auto"/>
        <w:ind w:left="600" w:right="600"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tl w:val="0"/>
        </w:rPr>
        <w:t xml:space="preserve">Türkiye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Fake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News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Campaign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Azerbaijan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Why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Ankara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Silent</w:t>
      </w:r>
      <w:r w:rsidDel="00000000" w:rsidR="00000000" w:rsidRPr="00000000">
        <w:rPr>
          <w:rtl w:val="1"/>
        </w:rPr>
        <w:t xml:space="preserve">?”</w:t>
        <w:br w:type="textWrapping"/>
        <w:t xml:space="preserve"> </w:t>
      </w:r>
      <w:r w:rsidDel="00000000" w:rsidR="00000000" w:rsidRPr="00000000">
        <w:rPr>
          <w:rtl w:val="1"/>
        </w:rPr>
        <w:t xml:space="preserve">במאמר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i w:val="1"/>
          <w:rtl w:val="0"/>
        </w:rPr>
        <w:t xml:space="preserve">APA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דיסאינפורמציה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הטורקיים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שותקים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אזרבייג</w:t>
      </w:r>
      <w:r w:rsidDel="00000000" w:rsidR="00000000" w:rsidRPr="00000000">
        <w:rPr>
          <w:rtl w:val="1"/>
        </w:rPr>
        <w:t xml:space="preserve">׳</w:t>
      </w:r>
      <w:r w:rsidDel="00000000" w:rsidR="00000000" w:rsidRPr="00000000">
        <w:rPr>
          <w:rtl w:val="1"/>
        </w:rPr>
        <w:t xml:space="preserve">ן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והדגישו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למרות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ההכחשות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החוזרות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המזויפות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ממשיכות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לזרום</w:t>
      </w:r>
      <w:r w:rsidDel="00000000" w:rsidR="00000000" w:rsidRPr="00000000">
        <w:rPr>
          <w:rtl w:val="1"/>
        </w:rPr>
        <w:t xml:space="preserve">.”</w:t>
      </w:r>
    </w:p>
    <w:p w:rsidR="00000000" w:rsidDel="00000000" w:rsidP="00000000" w:rsidRDefault="00000000" w:rsidRPr="00000000" w14:paraId="00000049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האירוע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מסוגו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הנרטיבי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–</w:t>
      </w:r>
      <w:r w:rsidDel="00000000" w:rsidR="00000000" w:rsidRPr="00000000">
        <w:rPr>
          <w:rtl w:val="1"/>
        </w:rPr>
        <w:t xml:space="preserve">באקו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וחשף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סדקים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הדוקות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כמעט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לחלוטין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ffi1evtc89aj" w:id="28"/>
      <w:bookmarkEnd w:id="28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מדוע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מדובר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בתופעה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הרסנית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יותר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ממתקפות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על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יריבים</w:t>
      </w:r>
    </w:p>
    <w:p w:rsidR="00000000" w:rsidDel="00000000" w:rsidP="00000000" w:rsidRDefault="00000000" w:rsidRPr="00000000" w14:paraId="0000004B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המשמעות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דיסאינפורמציה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המכוונת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המופנית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יריבים</w:t>
      </w:r>
      <w:r w:rsidDel="00000000" w:rsidR="00000000" w:rsidRPr="00000000">
        <w:rPr>
          <w:rtl w:val="1"/>
        </w:rPr>
        <w:t xml:space="preserve"> — </w:t>
      </w:r>
      <w:r w:rsidDel="00000000" w:rsidR="00000000" w:rsidRPr="00000000">
        <w:rPr>
          <w:rtl w:val="1"/>
        </w:rPr>
        <w:t xml:space="preserve">משום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פוגעת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במנגנון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C">
      <w:pPr>
        <w:bidi w:val="1"/>
        <w:spacing w:after="240" w:before="24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א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חפיפה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קהלית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Audience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Overlap</w:t>
      </w:r>
      <w:r w:rsidDel="00000000" w:rsidR="00000000" w:rsidRPr="00000000">
        <w:rPr>
          <w:b w:val="1"/>
          <w:rtl w:val="0"/>
        </w:rPr>
        <w:t xml:space="preserve">)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האוכלוסיות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בטורקיה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ובאזרבייג</w:t>
      </w:r>
      <w:r w:rsidDel="00000000" w:rsidR="00000000" w:rsidRPr="00000000">
        <w:rPr>
          <w:rtl w:val="1"/>
        </w:rPr>
        <w:t xml:space="preserve">׳</w:t>
      </w:r>
      <w:r w:rsidDel="00000000" w:rsidR="00000000" w:rsidRPr="00000000">
        <w:rPr>
          <w:rtl w:val="1"/>
        </w:rPr>
        <w:t xml:space="preserve">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חולקות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פלטפורמות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ורשתות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רבות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מניפולטיבי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ביניהן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ובאמינות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לוויראלי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ומזיק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D">
      <w:pPr>
        <w:bidi w:val="1"/>
        <w:spacing w:after="240" w:before="24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מנוף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משולש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Triangular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Leverage</w:t>
      </w:r>
      <w:r w:rsidDel="00000000" w:rsidR="00000000" w:rsidRPr="00000000">
        <w:rPr>
          <w:b w:val="1"/>
          <w:rtl w:val="0"/>
        </w:rPr>
        <w:t xml:space="preserve">)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המפקפקות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באקו</w:t>
      </w:r>
      <w:r w:rsidDel="00000000" w:rsidR="00000000" w:rsidRPr="00000000">
        <w:rPr>
          <w:rtl w:val="1"/>
        </w:rPr>
        <w:t xml:space="preserve">–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באקו</w:t>
      </w:r>
      <w:r w:rsidDel="00000000" w:rsidR="00000000" w:rsidRPr="00000000">
        <w:rPr>
          <w:rtl w:val="1"/>
        </w:rPr>
        <w:t xml:space="preserve">–</w:t>
      </w:r>
      <w:r w:rsidDel="00000000" w:rsidR="00000000" w:rsidRPr="00000000">
        <w:rPr>
          <w:rtl w:val="1"/>
        </w:rPr>
        <w:t xml:space="preserve">האיחוד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משרתות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1"/>
        </w:rPr>
        <w:t xml:space="preserve">לחץ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אזרבייג</w:t>
      </w:r>
      <w:r w:rsidDel="00000000" w:rsidR="00000000" w:rsidRPr="00000000">
        <w:rPr>
          <w:b w:val="1"/>
          <w:rtl w:val="1"/>
        </w:rPr>
        <w:t xml:space="preserve">׳</w:t>
      </w:r>
      <w:r w:rsidDel="00000000" w:rsidR="00000000" w:rsidRPr="00000000">
        <w:rPr>
          <w:b w:val="1"/>
          <w:rtl w:val="1"/>
        </w:rPr>
        <w:t xml:space="preserve">ן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1"/>
        </w:rPr>
        <w:t xml:space="preserve">איתות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מוסרי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הטורקי</w:t>
      </w:r>
      <w:r w:rsidDel="00000000" w:rsidR="00000000" w:rsidRPr="00000000">
        <w:rPr>
          <w:rtl w:val="1"/>
        </w:rPr>
        <w:t xml:space="preserve"> (“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הנכון</w:t>
      </w:r>
      <w:r w:rsidDel="00000000" w:rsidR="00000000" w:rsidRPr="00000000">
        <w:rPr>
          <w:rtl w:val="1"/>
        </w:rPr>
        <w:t xml:space="preserve">”),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1"/>
        </w:rPr>
        <w:t xml:space="preserve">שמירה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מרחב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הכחשה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סבירה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לאנקרה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נהנית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מפירותיו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51">
      <w:pPr>
        <w:bidi w:val="1"/>
        <w:spacing w:after="240" w:before="24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ג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האצלת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אחריות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ניתנת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להכחשה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Deniable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Outsourcing</w:t>
      </w:r>
      <w:r w:rsidDel="00000000" w:rsidR="00000000" w:rsidRPr="00000000">
        <w:rPr>
          <w:b w:val="1"/>
          <w:rtl w:val="0"/>
        </w:rPr>
        <w:t xml:space="preserve">)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“</w:t>
      </w:r>
      <w:r w:rsidDel="00000000" w:rsidR="00000000" w:rsidRPr="00000000">
        <w:rPr>
          <w:rtl w:val="1"/>
        </w:rPr>
        <w:t xml:space="preserve">ידידותית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מפיצה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השקר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הממשלה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הרשמית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שומרת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ביטחון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דיפלומטי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תחקירים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עצמאיים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i w:val="1"/>
          <w:rtl w:val="0"/>
        </w:rPr>
        <w:t xml:space="preserve">OC Media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הוסיפו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זווית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ישראלית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מלאכותית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להצדיק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המניע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נרטיביות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שתועדו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בקמפיינים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וקפריסין</w:t>
      </w:r>
      <w:r w:rsidDel="00000000" w:rsidR="00000000" w:rsidRPr="00000000">
        <w:rPr>
          <w:rtl w:val="1"/>
        </w:rPr>
        <w:t xml:space="preserve"> (33).</w:t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9oerruf1zl8k" w:id="29"/>
      <w:bookmarkEnd w:id="29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משמעות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אסטרטגית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עבור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יוון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,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קפריסין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וישראל</w:t>
      </w:r>
    </w:p>
    <w:p w:rsidR="00000000" w:rsidDel="00000000" w:rsidP="00000000" w:rsidRDefault="00000000" w:rsidRPr="00000000" w14:paraId="00000053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התופעה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סימפטום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שהפכה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אדפטיבית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וגמישה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מנגנון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להילחם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שותפיו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דיסאינפורמציה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מבוקרת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הלקח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ברור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ששימשו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תעמולה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חיצונית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מפות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רגולציה</w:t>
      </w:r>
      <w:r w:rsidDel="00000000" w:rsidR="00000000" w:rsidRPr="00000000">
        <w:rPr>
          <w:rtl w:val="1"/>
        </w:rPr>
        <w:t xml:space="preserve">, “</w:t>
      </w:r>
      <w:r w:rsidDel="00000000" w:rsidR="00000000" w:rsidRPr="00000000">
        <w:rPr>
          <w:rtl w:val="1"/>
        </w:rPr>
        <w:t xml:space="preserve">הפרכות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מהירות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DMM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תיאום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פלטפורמות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מופעלים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4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תקשורתית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מנגנון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ניהול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יחסים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ייתכן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דפוס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נוספות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תביעות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ריבונות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במזרח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התיכון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ממשל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משאבי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בקפריסין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ביטחוניים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5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הדיסאינפורמציה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הידידותית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תספק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לאנקרה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גמישות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להפעיל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bidi w:val="1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w37yiqfq0o05" w:id="30"/>
      <w:bookmarkEnd w:id="30"/>
      <w:r w:rsidDel="00000000" w:rsidR="00000000" w:rsidRPr="00000000">
        <w:rPr>
          <w:b w:val="1"/>
          <w:sz w:val="34"/>
          <w:szCs w:val="34"/>
          <w:rtl w:val="0"/>
        </w:rPr>
        <w:t xml:space="preserve">IV</w:t>
      </w:r>
      <w:r w:rsidDel="00000000" w:rsidR="00000000" w:rsidRPr="00000000">
        <w:rPr>
          <w:b w:val="1"/>
          <w:sz w:val="34"/>
          <w:szCs w:val="34"/>
          <w:rtl w:val="1"/>
        </w:rPr>
        <w:t xml:space="preserve">. </w:t>
      </w:r>
      <w:r w:rsidDel="00000000" w:rsidR="00000000" w:rsidRPr="00000000">
        <w:rPr>
          <w:b w:val="1"/>
          <w:sz w:val="34"/>
          <w:szCs w:val="34"/>
          <w:rtl w:val="1"/>
        </w:rPr>
        <w:t xml:space="preserve">ספר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ההפעלה</w:t>
      </w:r>
    </w:p>
    <w:p w:rsidR="00000000" w:rsidDel="00000000" w:rsidP="00000000" w:rsidRDefault="00000000" w:rsidRPr="00000000" w14:paraId="00000057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The Playbook – Summary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8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המערכת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התקשורתית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אקראי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מונעת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חוזרים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i w:val="1"/>
          <w:rtl w:val="0"/>
        </w:rPr>
        <w:t xml:space="preserve">playbook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המשמשים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לתיאום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נרטיבי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והבינלאומית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כאחד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רכיבי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ההפעלה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שזוהו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במחקר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pvctazp1rsr5" w:id="31"/>
      <w:bookmarkEnd w:id="31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1. "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הפרכה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"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מהירה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של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־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DMM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להענקת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ודאות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רשמית</w:t>
      </w:r>
    </w:p>
    <w:p w:rsidR="00000000" w:rsidDel="00000000" w:rsidP="00000000" w:rsidRDefault="00000000" w:rsidRPr="00000000" w14:paraId="0000005A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ברגע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שמופיעה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רגישת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משטר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בדיסאינפורמציה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DMM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i w:val="1"/>
          <w:rtl w:val="0"/>
        </w:rPr>
        <w:t xml:space="preserve">Dezenformasyonla Mücadele Merkezi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מפרסם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הבהרה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הפרכה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מיידית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לעיתים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נאספו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ראיות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הוצאת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חוות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הרשמית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מעניקה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למסרים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תוקף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מדינתי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ובכך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נוצרה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פשוטה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הודעת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DMM</w:t>
      </w:r>
      <w:r w:rsidDel="00000000" w:rsidR="00000000" w:rsidRPr="00000000">
        <w:rPr>
          <w:rtl w:val="1"/>
        </w:rPr>
        <w:t xml:space="preserve"> = </w:t>
      </w:r>
      <w:r w:rsidDel="00000000" w:rsidR="00000000" w:rsidRPr="00000000">
        <w:rPr>
          <w:rtl w:val="1"/>
        </w:rPr>
        <w:t xml:space="preserve">אמת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8vhm4m6e3edn" w:id="32"/>
      <w:bookmarkEnd w:id="32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2.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תרגום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בינלאומי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באמצעות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סוכנויות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ממלכתיות</w:t>
      </w:r>
    </w:p>
    <w:p w:rsidR="00000000" w:rsidDel="00000000" w:rsidP="00000000" w:rsidRDefault="00000000" w:rsidRPr="00000000" w14:paraId="0000005C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המסרים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המתואמים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מתורגמים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ומופצים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סוכנויות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הממשלתיות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Anadolu Agency, TRT World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בעלונים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לשוניים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הופכים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נרטיבים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לעובדות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הגלובלי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התרגום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מנגנון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הלבנת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” (</w:t>
      </w:r>
      <w:r w:rsidDel="00000000" w:rsidR="00000000" w:rsidRPr="00000000">
        <w:rPr>
          <w:i w:val="1"/>
          <w:rtl w:val="0"/>
        </w:rPr>
        <w:t xml:space="preserve">Content Whitening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): </w:t>
      </w:r>
      <w:r w:rsidDel="00000000" w:rsidR="00000000" w:rsidRPr="00000000">
        <w:rPr>
          <w:rtl w:val="1"/>
        </w:rPr>
        <w:t xml:space="preserve">מעבר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מעניק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בינלאומי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22e4bsqpr7ww" w:id="33"/>
      <w:bookmarkEnd w:id="33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3.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רוויה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רגשית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פנימית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למניעת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ביקורת</w:t>
      </w:r>
    </w:p>
    <w:p w:rsidR="00000000" w:rsidDel="00000000" w:rsidP="00000000" w:rsidRDefault="00000000" w:rsidRPr="00000000" w14:paraId="0000005E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בזירה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ההפצה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i w:val="1"/>
          <w:rtl w:val="0"/>
        </w:rPr>
        <w:t xml:space="preserve">Emotive Saturation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הצפת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רגשיים</w:t>
      </w:r>
      <w:r w:rsidDel="00000000" w:rsidR="00000000" w:rsidRPr="00000000">
        <w:rPr>
          <w:rtl w:val="1"/>
        </w:rPr>
        <w:t xml:space="preserve">: “</w:t>
      </w:r>
      <w:r w:rsidDel="00000000" w:rsidR="00000000" w:rsidRPr="00000000">
        <w:rPr>
          <w:rtl w:val="1"/>
        </w:rPr>
        <w:t xml:space="preserve">מדינת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אויב</w:t>
      </w:r>
      <w:r w:rsidDel="00000000" w:rsidR="00000000" w:rsidRPr="00000000">
        <w:rPr>
          <w:rtl w:val="1"/>
        </w:rPr>
        <w:t xml:space="preserve">”, “</w:t>
      </w:r>
      <w:r w:rsidDel="00000000" w:rsidR="00000000" w:rsidRPr="00000000">
        <w:rPr>
          <w:rtl w:val="1"/>
        </w:rPr>
        <w:t xml:space="preserve">השפלה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לאומית</w:t>
      </w:r>
      <w:r w:rsidDel="00000000" w:rsidR="00000000" w:rsidRPr="00000000">
        <w:rPr>
          <w:rtl w:val="1"/>
        </w:rPr>
        <w:t xml:space="preserve">”, “</w:t>
      </w:r>
      <w:r w:rsidDel="00000000" w:rsidR="00000000" w:rsidRPr="00000000">
        <w:rPr>
          <w:rtl w:val="1"/>
        </w:rPr>
        <w:t xml:space="preserve">טבח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בעזה</w:t>
      </w:r>
      <w:r w:rsidDel="00000000" w:rsidR="00000000" w:rsidRPr="00000000">
        <w:rPr>
          <w:rtl w:val="1"/>
        </w:rPr>
        <w:t xml:space="preserve">”. </w:t>
      </w:r>
      <w:r w:rsidDel="00000000" w:rsidR="00000000" w:rsidRPr="00000000">
        <w:rPr>
          <w:rtl w:val="1"/>
        </w:rPr>
        <w:t xml:space="preserve">מטרת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לשכנע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בעובדות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תגובה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קולקטיבית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שתיית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מונעת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hcyd381soj33" w:id="34"/>
      <w:bookmarkEnd w:id="34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4.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ענישה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רגולטורית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שיטתית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לכלי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תקשורת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סוררים</w:t>
      </w:r>
    </w:p>
    <w:p w:rsidR="00000000" w:rsidDel="00000000" w:rsidP="00000000" w:rsidRDefault="00000000" w:rsidRPr="00000000" w14:paraId="00000060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גופי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לספק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נרטיב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1"/>
        </w:rPr>
        <w:t xml:space="preserve">קנסות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RTÜK</w:t>
      </w:r>
      <w:r w:rsidDel="00000000" w:rsidR="00000000" w:rsidRPr="00000000">
        <w:rPr>
          <w:rtl w:val="1"/>
        </w:rPr>
        <w:t xml:space="preserve">,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1"/>
        </w:rPr>
        <w:t xml:space="preserve">שלילת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רישיונות</w:t>
      </w:r>
      <w:r w:rsidDel="00000000" w:rsidR="00000000" w:rsidRPr="00000000">
        <w:rPr>
          <w:rtl w:val="1"/>
        </w:rPr>
        <w:t xml:space="preserve">,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1"/>
        </w:rPr>
        <w:t xml:space="preserve">חסימת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ממומן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BİK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bans</w:t>
      </w:r>
      <w:r w:rsidDel="00000000" w:rsidR="00000000" w:rsidRPr="00000000">
        <w:rPr>
          <w:rtl w:val="1"/>
        </w:rPr>
        <w:t xml:space="preserve">),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1"/>
        </w:rPr>
        <w:t xml:space="preserve">והפללה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סעיף</w:t>
      </w:r>
      <w:r w:rsidDel="00000000" w:rsidR="00000000" w:rsidRPr="00000000">
        <w:rPr>
          <w:rtl w:val="1"/>
        </w:rPr>
        <w:t xml:space="preserve"> 217/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לחוק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הכוזב</w:t>
      </w:r>
      <w:r w:rsidDel="00000000" w:rsidR="00000000" w:rsidRPr="00000000">
        <w:rPr>
          <w:rtl w:val="1"/>
        </w:rPr>
        <w:t xml:space="preserve">”.</w:t>
        <w:br w:type="textWrapping"/>
        <w:t xml:space="preserve"> </w:t>
      </w:r>
      <w:r w:rsidDel="00000000" w:rsidR="00000000" w:rsidRPr="00000000">
        <w:rPr>
          <w:rtl w:val="1"/>
        </w:rPr>
        <w:t xml:space="preserve">הענישה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מייצרת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אפקט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קבוע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Chilling Effect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המבטיח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צנזורה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ישירה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cywco84fjlqh" w:id="35"/>
      <w:bookmarkEnd w:id="35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5.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הפיכת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דוקטרינות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למוסכמות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דרך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שחיקה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מתמדת</w:t>
      </w:r>
    </w:p>
    <w:p w:rsidR="00000000" w:rsidDel="00000000" w:rsidP="00000000" w:rsidRDefault="00000000" w:rsidRPr="00000000" w14:paraId="00000066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דוקטרינות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רוויזיוניסטיות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המולדת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הכחולה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i w:val="1"/>
          <w:rtl w:val="0"/>
        </w:rPr>
        <w:t xml:space="preserve">Mavi Vatan – Blue Homeland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עוברות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הדרגתי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Doctrinal Normalization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):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נידונות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ממלכתית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באקדמיה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ובפאנלים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נתפסות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כעמדה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מתבצעת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אינדוקטרינציה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תודעתית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ארוכת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טווח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hovebu8rsoz6" w:id="36"/>
      <w:bookmarkEnd w:id="36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6.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הקשחת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נרטיבים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בעת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משבר</w:t>
      </w:r>
    </w:p>
    <w:p w:rsidR="00000000" w:rsidDel="00000000" w:rsidP="00000000" w:rsidRDefault="00000000" w:rsidRPr="00000000" w14:paraId="00000068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בזמני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עימותים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מדיניים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כגון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תקיפת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המאבקים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האגאי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מנצלת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המומנטום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להקשחת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המסגור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נרטיבים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הופכים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לאומיים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והכחשה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טקטית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לדוקטרינה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tupb6onvgz1n" w:id="37"/>
      <w:bookmarkEnd w:id="37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7.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האצלת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הגברה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לתקשורת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“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ידידותית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”</w:t>
      </w:r>
    </w:p>
    <w:p w:rsidR="00000000" w:rsidDel="00000000" w:rsidP="00000000" w:rsidRDefault="00000000" w:rsidRPr="00000000" w14:paraId="0000006A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הפצת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דיסאינפורמציה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העברה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האצלה</w:t>
      </w:r>
      <w:r w:rsidDel="00000000" w:rsidR="00000000" w:rsidRPr="00000000">
        <w:rPr>
          <w:rtl w:val="1"/>
        </w:rPr>
        <w:t xml:space="preserve">” (</w:t>
      </w:r>
      <w:r w:rsidDel="00000000" w:rsidR="00000000" w:rsidRPr="00000000">
        <w:rPr>
          <w:i w:val="1"/>
          <w:rtl w:val="0"/>
        </w:rPr>
        <w:t xml:space="preserve">Delegated Amplification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):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למחצה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המזוהים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פרו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ממשלתיות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מקבלים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חבילת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ומפרסמים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ביוזמה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עצמאית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ההכחשה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הסבירה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Plausible Deniability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בעוד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r47g7j3h0y1o" w:id="38"/>
      <w:bookmarkEnd w:id="38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8.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גרסאות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לפי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קהל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יעד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Audience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Versioning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6C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הקהל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1"/>
        </w:rPr>
        <w:t xml:space="preserve">באירופה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דגש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מאבק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כזב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“</w:t>
      </w:r>
      <w:r w:rsidDel="00000000" w:rsidR="00000000" w:rsidRPr="00000000">
        <w:rPr>
          <w:rtl w:val="1"/>
        </w:rPr>
        <w:t xml:space="preserve">ציות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לדמוקרטיה</w:t>
      </w:r>
      <w:r w:rsidDel="00000000" w:rsidR="00000000" w:rsidRPr="00000000">
        <w:rPr>
          <w:rtl w:val="1"/>
        </w:rPr>
        <w:t xml:space="preserve">”,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הערבי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מסרים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צדק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לפלסטין</w:t>
      </w:r>
      <w:r w:rsidDel="00000000" w:rsidR="00000000" w:rsidRPr="00000000">
        <w:rPr>
          <w:rtl w:val="1"/>
        </w:rPr>
        <w:t xml:space="preserve">”,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1"/>
        </w:rPr>
        <w:t xml:space="preserve">בקהל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הטורקי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נרטיב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הנצורה</w:t>
      </w:r>
      <w:r w:rsidDel="00000000" w:rsidR="00000000" w:rsidRPr="00000000">
        <w:rPr>
          <w:rtl w:val="1"/>
        </w:rPr>
        <w:t xml:space="preserve">”.</w:t>
        <w:br w:type="textWrapping"/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מופעלת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אסטרטגיה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שכבתית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נרטיב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מתוזמר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Multi-Layered Narrative Synchronization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שומע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המתאימה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לערכיו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מחזקת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מרכזי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70">
      <w:pPr>
        <w:bidi w:val="1"/>
        <w:spacing w:after="240" w:before="24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לסיכום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הפרק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ההפעלה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מסתפק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בהפצת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מציאות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פוליטית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סגורה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מתמזגים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ריבונית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בתודעה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bidi w:val="1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8lqo97bzm0hy" w:id="39"/>
      <w:bookmarkEnd w:id="39"/>
      <w:r w:rsidDel="00000000" w:rsidR="00000000" w:rsidRPr="00000000">
        <w:rPr>
          <w:b w:val="1"/>
          <w:sz w:val="34"/>
          <w:szCs w:val="34"/>
          <w:rtl w:val="0"/>
        </w:rPr>
        <w:t xml:space="preserve">V</w:t>
      </w:r>
      <w:r w:rsidDel="00000000" w:rsidR="00000000" w:rsidRPr="00000000">
        <w:rPr>
          <w:b w:val="1"/>
          <w:sz w:val="34"/>
          <w:szCs w:val="34"/>
          <w:rtl w:val="1"/>
        </w:rPr>
        <w:t xml:space="preserve">. </w:t>
      </w:r>
      <w:r w:rsidDel="00000000" w:rsidR="00000000" w:rsidRPr="00000000">
        <w:rPr>
          <w:b w:val="1"/>
          <w:sz w:val="34"/>
          <w:szCs w:val="34"/>
          <w:rtl w:val="1"/>
        </w:rPr>
        <w:t xml:space="preserve">המלצות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ליוון</w:t>
      </w:r>
      <w:r w:rsidDel="00000000" w:rsidR="00000000" w:rsidRPr="00000000">
        <w:rPr>
          <w:b w:val="1"/>
          <w:sz w:val="34"/>
          <w:szCs w:val="34"/>
          <w:rtl w:val="1"/>
        </w:rPr>
        <w:t xml:space="preserve">, </w:t>
      </w:r>
      <w:r w:rsidDel="00000000" w:rsidR="00000000" w:rsidRPr="00000000">
        <w:rPr>
          <w:b w:val="1"/>
          <w:sz w:val="34"/>
          <w:szCs w:val="34"/>
          <w:rtl w:val="1"/>
        </w:rPr>
        <w:t xml:space="preserve">קפריסין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וישראל</w:t>
      </w:r>
    </w:p>
    <w:p w:rsidR="00000000" w:rsidDel="00000000" w:rsidP="00000000" w:rsidRDefault="00000000" w:rsidRPr="00000000" w14:paraId="00000072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Recommendations for Greece, Cyprus &amp; Israel – Highlights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73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n8922g6ox32s" w:id="40"/>
      <w:bookmarkEnd w:id="4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א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התחומים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שבהם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הממשלות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כבר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מובילות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–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וצריכות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להעמיק</w:t>
      </w:r>
    </w:p>
    <w:p w:rsidR="00000000" w:rsidDel="00000000" w:rsidP="00000000" w:rsidRDefault="00000000" w:rsidRPr="00000000" w14:paraId="00000074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בשלוש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המדינות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יוון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קפריסין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וישראל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ניכר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המאפשרת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התמודדות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אפקטיבית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דיסאינפורמציה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מומלץ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להעמיק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וליצור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5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nwz7t8tk09cs" w:id="41"/>
      <w:bookmarkEnd w:id="41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יוון</w:t>
      </w:r>
    </w:p>
    <w:p w:rsidR="00000000" w:rsidDel="00000000" w:rsidP="00000000" w:rsidRDefault="00000000" w:rsidRPr="00000000" w14:paraId="00000076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אתונה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פיתחה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רגולטורי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ומעוגן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האירופי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היווני</w:t>
      </w:r>
      <w:r w:rsidDel="00000000" w:rsidR="00000000" w:rsidRPr="00000000">
        <w:rPr>
          <w:rtl w:val="1"/>
        </w:rPr>
        <w:t xml:space="preserve"> 5099/2024, </w:t>
      </w:r>
      <w:r w:rsidDel="00000000" w:rsidR="00000000" w:rsidRPr="00000000">
        <w:rPr>
          <w:rtl w:val="1"/>
        </w:rPr>
        <w:t xml:space="preserve">מונתה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ודואר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EETT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i w:val="1"/>
          <w:rtl w:val="0"/>
        </w:rPr>
        <w:t xml:space="preserve">Hellenic Telecommunications &amp; Post Commission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לשמש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הדיגיטליים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Digital Services Coordinator – DSC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הדיגיטליים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האירופי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Digital Services Act – DSA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).</w:t>
        <w:br w:type="textWrapping"/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0"/>
        </w:rPr>
        <w:t xml:space="preserve">EETT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אפקטיבי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הצליחו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לממש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במקביל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השיקה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אסטרטגיה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המקוון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כוללת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בקרת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ושיתופי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פלטפורמות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דיגיטליות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המייצגת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מניעתית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ופרואקטיבית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בניגוד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ריאקטיבית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אחרות</w:t>
      </w:r>
      <w:r w:rsidDel="00000000" w:rsidR="00000000" w:rsidRPr="00000000">
        <w:rPr>
          <w:rtl w:val="1"/>
        </w:rPr>
        <w:t xml:space="preserve"> (52)(53).</w:t>
      </w:r>
    </w:p>
    <w:p w:rsidR="00000000" w:rsidDel="00000000" w:rsidP="00000000" w:rsidRDefault="00000000" w:rsidRPr="00000000" w14:paraId="00000077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g9lzzvopc2yp" w:id="42"/>
      <w:bookmarkEnd w:id="42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קפריסין</w:t>
      </w:r>
    </w:p>
    <w:p w:rsidR="00000000" w:rsidDel="00000000" w:rsidP="00000000" w:rsidRDefault="00000000" w:rsidRPr="00000000" w14:paraId="00000078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ניקוסיה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רדיו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טלוויזיה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קפריסין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CRTA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i w:val="1"/>
          <w:rtl w:val="0"/>
        </w:rPr>
        <w:t xml:space="preserve">Cyprus Radio-Television Authority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0"/>
        </w:rPr>
        <w:t xml:space="preserve">DSC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בהחלטת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שפורסמה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הרשמי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ביולי</w:t>
      </w:r>
      <w:r w:rsidDel="00000000" w:rsidR="00000000" w:rsidRPr="00000000">
        <w:rPr>
          <w:rtl w:val="1"/>
        </w:rPr>
        <w:t xml:space="preserve"> 2025 </w:t>
      </w:r>
      <w:r w:rsidDel="00000000" w:rsidR="00000000" w:rsidRPr="00000000">
        <w:rPr>
          <w:rtl w:val="1"/>
        </w:rPr>
        <w:t xml:space="preserve">נחקק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הקפריסאי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0"/>
        </w:rPr>
        <w:t xml:space="preserve">DSA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הפורמלי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אכיפה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קנסות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והגדרת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בעוד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שהנציבות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האירופית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נוקטת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יישמו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קפריסין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בחזית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העומדות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בתקינה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האירופית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החדשה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הישג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במונחים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רגולטורית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אכיפה</w:t>
      </w:r>
      <w:r w:rsidDel="00000000" w:rsidR="00000000" w:rsidRPr="00000000">
        <w:rPr>
          <w:rtl w:val="1"/>
        </w:rPr>
        <w:t xml:space="preserve"> (54)(55)(56).</w:t>
      </w:r>
    </w:p>
    <w:p w:rsidR="00000000" w:rsidDel="00000000" w:rsidP="00000000" w:rsidRDefault="00000000" w:rsidRPr="00000000" w14:paraId="00000079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5c7992uw2yc9" w:id="43"/>
      <w:bookmarkEnd w:id="43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ישראל</w:t>
      </w:r>
    </w:p>
    <w:p w:rsidR="00000000" w:rsidDel="00000000" w:rsidP="00000000" w:rsidRDefault="00000000" w:rsidRPr="00000000" w14:paraId="0000007A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למרות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האירופי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פיתחה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מבצעית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ייחודית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הסייבר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INCD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i w:val="1"/>
          <w:rtl w:val="0"/>
        </w:rPr>
        <w:t xml:space="preserve">Israel National Cyber Directorate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החל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משנת</w:t>
      </w:r>
      <w:r w:rsidDel="00000000" w:rsidR="00000000" w:rsidRPr="00000000">
        <w:rPr>
          <w:rtl w:val="1"/>
        </w:rPr>
        <w:t xml:space="preserve"> 2024, </w:t>
      </w:r>
      <w:r w:rsidDel="00000000" w:rsidR="00000000" w:rsidRPr="00000000">
        <w:rPr>
          <w:rtl w:val="1"/>
        </w:rPr>
        <w:t xml:space="preserve">המערך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ומטפל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עוינים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Hostile Content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לצד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אירועי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סייבר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לוחמת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דיגיטלי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דוח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לשנת</w:t>
      </w:r>
      <w:r w:rsidDel="00000000" w:rsidR="00000000" w:rsidRPr="00000000">
        <w:rPr>
          <w:rtl w:val="1"/>
        </w:rPr>
        <w:t xml:space="preserve"> 2024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אינטיליגנציה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דיפפייקים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מלחמה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לתעמולה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ממוחשבת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ביטוי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מתקדמת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ולמנגנון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תיקון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מוסדי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Institutional Self-Correction</w:t>
      </w:r>
      <w:r w:rsidDel="00000000" w:rsidR="00000000" w:rsidRPr="00000000">
        <w:rPr>
          <w:rtl w:val="0"/>
        </w:rPr>
        <w:t xml:space="preserve">) (57)(58)(59).</w:t>
      </w:r>
    </w:p>
    <w:p w:rsidR="00000000" w:rsidDel="00000000" w:rsidP="00000000" w:rsidRDefault="00000000" w:rsidRPr="00000000" w14:paraId="0000007B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3udce4562j9o" w:id="44"/>
      <w:bookmarkEnd w:id="44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ב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.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הצעד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הבא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–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יצירת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תא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משותף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יוון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–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קפריסין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–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ישראל</w:t>
      </w:r>
    </w:p>
    <w:p w:rsidR="00000000" w:rsidDel="00000000" w:rsidP="00000000" w:rsidRDefault="00000000" w:rsidRPr="00000000" w14:paraId="0000007C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השלב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תיאום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Joint GR–CY–IL Cell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שיפעל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ממדים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1"/>
        </w:rPr>
        <w:t xml:space="preserve">שילוב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רגולטורי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ניצול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0"/>
        </w:rPr>
        <w:t xml:space="preserve">DSC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ובקפריסין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EETT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tl w:val="0"/>
        </w:rPr>
        <w:t xml:space="preserve">CRTA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לאיתור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סיכונים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במסגרת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0"/>
        </w:rPr>
        <w:t xml:space="preserve">DSA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ושילובם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והתגובה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המבצעי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INCD</w:t>
      </w:r>
      <w:r w:rsidDel="00000000" w:rsidR="00000000" w:rsidRPr="00000000">
        <w:rPr>
          <w:rtl w:val="1"/>
        </w:rPr>
        <w:t xml:space="preserve">).</w:t>
        <w:br w:type="textWrapping"/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1"/>
        </w:rPr>
        <w:t xml:space="preserve">תגובה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־</w:t>
      </w:r>
      <w:r w:rsidDel="00000000" w:rsidR="00000000" w:rsidRPr="00000000">
        <w:rPr>
          <w:b w:val="1"/>
          <w:rtl w:val="1"/>
        </w:rPr>
        <w:t xml:space="preserve">שפתית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מהירה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תגובה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מהירה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Rapid OSINT Response Cell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המבוסס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מודיעין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גלוי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OSINT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הכולל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גיאוגרפי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נרטיבי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ופרסום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תגובות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מבוססות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עובדות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עברית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יוונית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טורקית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אנגלית</w:t>
      </w:r>
      <w:r w:rsidDel="00000000" w:rsidR="00000000" w:rsidRPr="00000000">
        <w:rPr>
          <w:rtl w:val="1"/>
        </w:rPr>
        <w:t xml:space="preserve">).</w:t>
        <w:br w:type="textWrapping"/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1"/>
        </w:rPr>
        <w:t xml:space="preserve">הפרכה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מוקדמת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Pre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Bunking</w:t>
      </w:r>
      <w:r w:rsidDel="00000000" w:rsidR="00000000" w:rsidRPr="00000000">
        <w:rPr>
          <w:b w:val="1"/>
          <w:rtl w:val="0"/>
        </w:rPr>
        <w:t xml:space="preserve">):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אזרית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ואנגלית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המפריכים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צפויות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עימותים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במזרח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התיכון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הפצתן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1"/>
        </w:rPr>
        <w:t xml:space="preserve">הערכת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נרטיבים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Narrative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Net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Assessment</w:t>
      </w:r>
      <w:r w:rsidDel="00000000" w:rsidR="00000000" w:rsidRPr="00000000">
        <w:rPr>
          <w:b w:val="1"/>
          <w:rtl w:val="0"/>
        </w:rPr>
        <w:t xml:space="preserve">):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טיפול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ובסמלים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דוקטרינריים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כגון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המולדת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הכחולה</w:t>
      </w:r>
      <w:r w:rsidDel="00000000" w:rsidR="00000000" w:rsidRPr="00000000">
        <w:rPr>
          <w:rtl w:val="1"/>
        </w:rPr>
        <w:t xml:space="preserve">" –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טיעונים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גיאוגרפיים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נשק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מידע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rtl w:val="0"/>
        </w:rPr>
        <w:t xml:space="preserve">Information Weapons</w:t>
      </w:r>
      <w:r w:rsidDel="00000000" w:rsidR="00000000" w:rsidRPr="00000000">
        <w:rPr>
          <w:rtl w:val="0"/>
        </w:rPr>
        <w:t xml:space="preserve">).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1"/>
        </w:rPr>
        <w:t xml:space="preserve">לחץ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רגולטורי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ודיפלומטי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לשקיפות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פלטפורמות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בינלאומיות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מניפולציות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אלגוריתמי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ותעבורה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Discover/Shock Traffic Changes</w:t>
      </w:r>
      <w:r w:rsidDel="00000000" w:rsidR="00000000" w:rsidRPr="00000000">
        <w:rPr>
          <w:rtl w:val="0"/>
        </w:rPr>
        <w:t xml:space="preserve">).</w:t>
        <w:br w:type="textWrapping"/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1"/>
        </w:rPr>
        <w:t xml:space="preserve">ערוץ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אזרבייג</w:t>
      </w:r>
      <w:r w:rsidDel="00000000" w:rsidR="00000000" w:rsidRPr="00000000">
        <w:rPr>
          <w:b w:val="1"/>
          <w:rtl w:val="1"/>
        </w:rPr>
        <w:t xml:space="preserve">׳</w:t>
      </w:r>
      <w:r w:rsidDel="00000000" w:rsidR="00000000" w:rsidRPr="00000000">
        <w:rPr>
          <w:b w:val="1"/>
          <w:rtl w:val="1"/>
        </w:rPr>
        <w:t xml:space="preserve">ני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תיאום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ניטור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באקו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לזיהוי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דיסאינפורמציה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בידידות</w:t>
      </w:r>
      <w:r w:rsidDel="00000000" w:rsidR="00000000" w:rsidRPr="00000000">
        <w:rPr>
          <w:rtl w:val="1"/>
        </w:rPr>
        <w:t xml:space="preserve">” (</w:t>
      </w:r>
      <w:r w:rsidDel="00000000" w:rsidR="00000000" w:rsidRPr="00000000">
        <w:rPr>
          <w:i w:val="1"/>
          <w:rtl w:val="0"/>
        </w:rPr>
        <w:t xml:space="preserve">Friendly-Fire Disinformation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והפקת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דוחות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עקיבה</w:t>
      </w:r>
      <w:r w:rsidDel="00000000" w:rsidR="00000000" w:rsidRPr="00000000">
        <w:rPr>
          <w:rtl w:val="1"/>
        </w:rPr>
        <w:t xml:space="preserve">” (</w:t>
      </w:r>
      <w:r w:rsidDel="00000000" w:rsidR="00000000" w:rsidRPr="00000000">
        <w:rPr>
          <w:rtl w:val="0"/>
        </w:rPr>
        <w:t xml:space="preserve">Trace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Pieces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הגנתיים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83">
      <w:pPr>
        <w:bidi w:val="1"/>
        <w:spacing w:after="240" w:before="24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המשמעות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הרחבה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יוון</w:t>
      </w:r>
      <w:r w:rsidDel="00000000" w:rsidR="00000000" w:rsidRPr="00000000">
        <w:rPr>
          <w:rtl w:val="1"/>
        </w:rPr>
        <w:t xml:space="preserve">–</w:t>
      </w:r>
      <w:r w:rsidDel="00000000" w:rsidR="00000000" w:rsidRPr="00000000">
        <w:rPr>
          <w:rtl w:val="1"/>
        </w:rPr>
        <w:t xml:space="preserve">קפריסין</w:t>
      </w:r>
      <w:r w:rsidDel="00000000" w:rsidR="00000000" w:rsidRPr="00000000">
        <w:rPr>
          <w:rtl w:val="1"/>
        </w:rPr>
        <w:t xml:space="preserve">–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לאזורי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ולחזק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החוסן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הדמוקרטי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התודעה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האירופי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משפטי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DSA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הממד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המבצעי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ביטחוני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INCD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והממד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התודעתי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דיפלומטי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הגנה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נרטיבים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מתואמים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84">
      <w:pPr>
        <w:pStyle w:val="Heading2"/>
        <w:keepNext w:val="0"/>
        <w:keepLines w:val="0"/>
        <w:bidi w:val="1"/>
        <w:spacing w:after="80" w:lineRule="auto"/>
        <w:jc w:val="both"/>
        <w:rPr>
          <w:b w:val="1"/>
          <w:sz w:val="34"/>
          <w:szCs w:val="34"/>
        </w:rPr>
      </w:pPr>
      <w:bookmarkStart w:colFirst="0" w:colLast="0" w:name="_jlj5a1pfu5va" w:id="45"/>
      <w:bookmarkEnd w:id="45"/>
      <w:r w:rsidDel="00000000" w:rsidR="00000000" w:rsidRPr="00000000">
        <w:rPr>
          <w:b w:val="1"/>
          <w:sz w:val="34"/>
          <w:szCs w:val="34"/>
          <w:rtl w:val="0"/>
        </w:rPr>
        <w:t xml:space="preserve">VI</w:t>
      </w:r>
      <w:r w:rsidDel="00000000" w:rsidR="00000000" w:rsidRPr="00000000">
        <w:rPr>
          <w:b w:val="1"/>
          <w:sz w:val="34"/>
          <w:szCs w:val="34"/>
          <w:rtl w:val="1"/>
        </w:rPr>
        <w:t xml:space="preserve">. </w:t>
      </w:r>
      <w:r w:rsidDel="00000000" w:rsidR="00000000" w:rsidRPr="00000000">
        <w:rPr>
          <w:b w:val="1"/>
          <w:sz w:val="34"/>
          <w:szCs w:val="34"/>
          <w:rtl w:val="1"/>
        </w:rPr>
        <w:t xml:space="preserve">מה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חדש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כאן</w:t>
      </w:r>
    </w:p>
    <w:p w:rsidR="00000000" w:rsidDel="00000000" w:rsidP="00000000" w:rsidRDefault="00000000" w:rsidRPr="00000000" w14:paraId="00000085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What Is New Here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86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הנוכחי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המסגרת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האירופית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שהוצגה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במאמרי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i w:val="1"/>
          <w:rtl w:val="0"/>
        </w:rPr>
        <w:t xml:space="preserve">The Brussels Times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פברואר</w:t>
      </w:r>
      <w:r w:rsidDel="00000000" w:rsidR="00000000" w:rsidRPr="00000000">
        <w:rPr>
          <w:rtl w:val="1"/>
        </w:rPr>
        <w:t xml:space="preserve"> 2025),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טענתי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דיסאינפורמציה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חולפת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תקין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Structural Governance Risk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).</w:t>
        <w:br w:type="textWrapping"/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מאמר</w:t>
      </w:r>
      <w:r w:rsidDel="00000000" w:rsidR="00000000" w:rsidRPr="00000000">
        <w:rPr>
          <w:rtl w:val="1"/>
        </w:rPr>
        <w:t xml:space="preserve"> – “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Must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Tackle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Disinformation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Prevent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European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Crisis</w:t>
      </w:r>
      <w:r w:rsidDel="00000000" w:rsidR="00000000" w:rsidRPr="00000000">
        <w:rPr>
          <w:rtl w:val="1"/>
        </w:rPr>
        <w:t xml:space="preserve">” – </w:t>
      </w:r>
      <w:r w:rsidDel="00000000" w:rsidR="00000000" w:rsidRPr="00000000">
        <w:rPr>
          <w:rtl w:val="1"/>
        </w:rPr>
        <w:t xml:space="preserve">הדגים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דיסאינפורמציה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במוסדות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ופוגעת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בחוסן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תהליכי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ההחלטות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הנוכחי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ומיישם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מאבק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בדיסאינפורמציה</w:t>
      </w:r>
      <w:r w:rsidDel="00000000" w:rsidR="00000000" w:rsidRPr="00000000">
        <w:rPr>
          <w:rtl w:val="1"/>
        </w:rPr>
        <w:t xml:space="preserve">" (</w:t>
      </w:r>
      <w:r w:rsidDel="00000000" w:rsidR="00000000" w:rsidRPr="00000000">
        <w:rPr>
          <w:i w:val="1"/>
          <w:rtl w:val="0"/>
        </w:rPr>
        <w:t xml:space="preserve">Anti-Disinformation Apparatus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למודל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ריבונית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המייצאת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תוצריה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לגבולותיה</w:t>
      </w:r>
      <w:r w:rsidDel="00000000" w:rsidR="00000000" w:rsidRPr="00000000">
        <w:rPr>
          <w:rtl w:val="1"/>
        </w:rPr>
        <w:t xml:space="preserve">. (60)</w:t>
      </w:r>
    </w:p>
    <w:p w:rsidR="00000000" w:rsidDel="00000000" w:rsidP="00000000" w:rsidRDefault="00000000" w:rsidRPr="00000000" w14:paraId="00000087">
      <w:pPr>
        <w:pStyle w:val="Heading3"/>
        <w:keepNext w:val="0"/>
        <w:keepLines w:val="0"/>
        <w:bidi w:val="1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tarijifmzqmi" w:id="46"/>
      <w:bookmarkEnd w:id="46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חידושים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מרכזיים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ומסקנות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עיקריות</w:t>
      </w:r>
    </w:p>
    <w:p w:rsidR="00000000" w:rsidDel="00000000" w:rsidP="00000000" w:rsidRDefault="00000000" w:rsidRPr="00000000" w14:paraId="00000088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diqkz9numzag" w:id="47"/>
      <w:bookmarkEnd w:id="47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1.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מקרה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ההעתקה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כהוכחה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משפטית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לניהול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נרטיבי</w:t>
      </w:r>
    </w:p>
    <w:p w:rsidR="00000000" w:rsidDel="00000000" w:rsidP="00000000" w:rsidRDefault="00000000" w:rsidRPr="00000000" w14:paraId="00000089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המקרה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העתיקו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טורקיים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i w:val="1"/>
          <w:rtl w:val="0"/>
        </w:rPr>
        <w:t xml:space="preserve">Israel Hayom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טעות</w:t>
      </w:r>
      <w:r w:rsidDel="00000000" w:rsidR="00000000" w:rsidRPr="00000000">
        <w:rPr>
          <w:rtl w:val="1"/>
        </w:rPr>
        <w:t xml:space="preserve"> ("</w:t>
      </w:r>
      <w:r w:rsidDel="00000000" w:rsidR="00000000" w:rsidRPr="00000000">
        <w:rPr>
          <w:i w:val="1"/>
          <w:rtl w:val="0"/>
        </w:rPr>
        <w:t xml:space="preserve">Times of Israel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") </w:t>
      </w:r>
      <w:r w:rsidDel="00000000" w:rsidR="00000000" w:rsidRPr="00000000">
        <w:rPr>
          <w:rtl w:val="1"/>
        </w:rPr>
        <w:t xml:space="preserve">מהווה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אינדיקטור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Forensic Signal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למשמעת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נרטיבית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מערכתית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ההעתקה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המדויקת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ברפלקס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תקשורתי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ספונטני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בהפצה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מתוזמרת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מרכזי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עדות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הצינור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הנרטיבי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A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r3efzyxjqkud" w:id="48"/>
      <w:bookmarkEnd w:id="48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2.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וקטור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מצרים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–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חדירת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רכות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תחת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כיסוי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פיוס</w:t>
      </w:r>
    </w:p>
    <w:p w:rsidR="00000000" w:rsidDel="00000000" w:rsidP="00000000" w:rsidRDefault="00000000" w:rsidRPr="00000000" w14:paraId="0000008B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הניתוח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דיפלומטית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התקשורת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להחדיר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מסרים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עדינים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היוצרים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חיכוך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תודעתי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סמוי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Latent Narrative Friction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).</w:t>
        <w:br w:type="textWrapping"/>
        <w:t xml:space="preserve"> </w:t>
      </w:r>
      <w:r w:rsidDel="00000000" w:rsidR="00000000" w:rsidRPr="00000000">
        <w:rPr>
          <w:rtl w:val="1"/>
        </w:rPr>
        <w:t xml:space="preserve">הפרדוקס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הפיוס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שהנורמליזציה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דווקא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מגבירה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ההשפעה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הפורמלית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פוחתת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יורדת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והנרטיב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קלות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בכך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הטורקית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ברמיזה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בתזמון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ובטון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C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odmz8q9qmyr" w:id="49"/>
      <w:bookmarkEnd w:id="49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3.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וקטור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הודו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–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התגבשות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“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הציר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המשולש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” (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טורקיה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–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פקיסטן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–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סין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)</w:t>
      </w:r>
    </w:p>
    <w:p w:rsidR="00000000" w:rsidDel="00000000" w:rsidP="00000000" w:rsidRDefault="00000000" w:rsidRPr="00000000" w14:paraId="0000008D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מבצע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i w:val="1"/>
          <w:rtl w:val="0"/>
        </w:rPr>
        <w:t xml:space="preserve">Sindoor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נוצרה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גיאומטריה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לוחמת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משולבת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פקיסטן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מייצרת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דיסאינפורמציה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rtl w:val="1"/>
        </w:rPr>
        <w:t xml:space="preserve">טורקיה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בינלאומי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באנגלית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rtl w:val="1"/>
        </w:rPr>
        <w:t xml:space="preserve">וסין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לגיטימציה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דיפלומטית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ותקשורתית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ממחיש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עקרון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הנרטיבי</w:t>
      </w:r>
      <w:r w:rsidDel="00000000" w:rsidR="00000000" w:rsidRPr="00000000">
        <w:rPr>
          <w:rtl w:val="1"/>
        </w:rPr>
        <w:t xml:space="preserve">” (</w:t>
      </w:r>
      <w:r w:rsidDel="00000000" w:rsidR="00000000" w:rsidRPr="00000000">
        <w:rPr>
          <w:i w:val="1"/>
          <w:rtl w:val="0"/>
        </w:rPr>
        <w:t xml:space="preserve">Narrative Load-Sharing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–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שחקנים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מניפולציה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שהפרכתה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ומשאבים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הדמוקרטיות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בכך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הופך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ההפרכה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לנכס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אסטרטגי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התוקף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E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5pgoa8fvdcxz" w:id="50"/>
      <w:bookmarkEnd w:id="50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4.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אזרבייג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׳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ן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–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דיסאינפורמציה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כתחזוקת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ברית</w:t>
      </w:r>
    </w:p>
    <w:p w:rsidR="00000000" w:rsidDel="00000000" w:rsidP="00000000" w:rsidRDefault="00000000" w:rsidRPr="00000000" w14:paraId="0000008F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ההתפרצות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הנרטיבית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לבאקו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באבולוציה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המכונה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בדיסאינפורמציה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ידידות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ידידותית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תקשורתית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מופנית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להנדס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גבולותיו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לווסת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היררכיה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סמויה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במובן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הדיסאינפורמציה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הופכת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אלסטי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שמסוגל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להעניש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לרסן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לתקן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התנהגות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שותפים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קואליציה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0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f7jo753pdw9m" w:id="51"/>
      <w:bookmarkEnd w:id="51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5.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מהות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המערכת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–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קוד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של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שליטה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ולא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של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אמת</w:t>
      </w:r>
    </w:p>
    <w:p w:rsidR="00000000" w:rsidDel="00000000" w:rsidP="00000000" w:rsidRDefault="00000000" w:rsidRPr="00000000" w14:paraId="00000091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ארבעת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הווקטורים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יוון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קפריסין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מצרים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ואזרבייג</w:t>
      </w:r>
      <w:r w:rsidDel="00000000" w:rsidR="00000000" w:rsidRPr="00000000">
        <w:rPr>
          <w:rtl w:val="1"/>
        </w:rPr>
        <w:t xml:space="preserve">׳</w:t>
      </w:r>
      <w:r w:rsidDel="00000000" w:rsidR="00000000" w:rsidRPr="00000000">
        <w:rPr>
          <w:rtl w:val="1"/>
        </w:rPr>
        <w:t xml:space="preserve">ן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מצטרפים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rtl w:val="1"/>
        </w:rPr>
        <w:t xml:space="preserve">טורקיה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אקו</w:t>
      </w:r>
      <w:r w:rsidDel="00000000" w:rsidR="00000000" w:rsidRPr="00000000">
        <w:rPr>
          <w:i w:val="1"/>
          <w:rtl w:val="1"/>
        </w:rPr>
        <w:t xml:space="preserve">־</w:t>
      </w:r>
      <w:r w:rsidDel="00000000" w:rsidR="00000000" w:rsidRPr="00000000">
        <w:rPr>
          <w:i w:val="1"/>
          <w:rtl w:val="1"/>
        </w:rPr>
        <w:t xml:space="preserve">סיסטם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טרנס</w:t>
      </w:r>
      <w:r w:rsidDel="00000000" w:rsidR="00000000" w:rsidRPr="00000000">
        <w:rPr>
          <w:i w:val="1"/>
          <w:rtl w:val="1"/>
        </w:rPr>
        <w:t xml:space="preserve">־</w:t>
      </w:r>
      <w:r w:rsidDel="00000000" w:rsidR="00000000" w:rsidRPr="00000000">
        <w:rPr>
          <w:i w:val="1"/>
          <w:rtl w:val="1"/>
        </w:rPr>
        <w:t xml:space="preserve">אזורי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אדפטיבי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rtl w:val="0"/>
        </w:rPr>
        <w:t xml:space="preserve">Trans-Regional Adaptive Ecosystem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רכיב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מדיה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רגולטור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תקציב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מציית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שליטה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שליטה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בתפיסה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rtl w:val="0"/>
        </w:rPr>
        <w:t xml:space="preserve">Perception Control Architecture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): </w:t>
      </w:r>
      <w:r w:rsidDel="00000000" w:rsidR="00000000" w:rsidRPr="00000000">
        <w:rPr>
          <w:rtl w:val="1"/>
        </w:rPr>
        <w:t xml:space="preserve">מנגנון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שמסוגל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להחליף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להחליף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בשותפים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ולהישאר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במטרה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שימור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ריבונות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תודעתית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2">
      <w:pPr>
        <w:pStyle w:val="Heading4"/>
        <w:keepNext w:val="0"/>
        <w:keepLines w:val="0"/>
        <w:bidi w:val="1"/>
        <w:spacing w:after="40" w:before="240" w:lineRule="auto"/>
        <w:jc w:val="both"/>
        <w:rPr>
          <w:b w:val="1"/>
          <w:color w:val="000000"/>
          <w:sz w:val="22"/>
          <w:szCs w:val="22"/>
        </w:rPr>
      </w:pPr>
      <w:bookmarkStart w:colFirst="0" w:colLast="0" w:name="_35i8eu5l8wxl" w:id="52"/>
      <w:bookmarkEnd w:id="52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6.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השלכות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רחבות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–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עיצוב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מדיניות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הגנתית</w:t>
      </w:r>
    </w:p>
    <w:p w:rsidR="00000000" w:rsidDel="00000000" w:rsidP="00000000" w:rsidRDefault="00000000" w:rsidRPr="00000000" w14:paraId="00000093">
      <w:pPr>
        <w:bidi w:val="1"/>
        <w:spacing w:after="240" w:before="240" w:lineRule="auto"/>
        <w:jc w:val="both"/>
        <w:rPr/>
      </w:pP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למסקנות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הטורקי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למאבק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בדיסאינפורמציה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DMM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כיחידת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עובדות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Fact-Checker Unit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שלטונית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i w:val="1"/>
          <w:rtl w:val="0"/>
        </w:rPr>
        <w:t xml:space="preserve">Policy Implementer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): </w:t>
      </w:r>
      <w:r w:rsidDel="00000000" w:rsidR="00000000" w:rsidRPr="00000000">
        <w:rPr>
          <w:rtl w:val="1"/>
        </w:rPr>
        <w:t xml:space="preserve">גוף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ההכרה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לעיצוב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מנגנוני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רגולציה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והיערכות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דיפלומטית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באירופה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במזרח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התיכון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4">
      <w:pPr>
        <w:bidi w:val="1"/>
        <w:spacing w:after="240" w:before="24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מסקנת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סיכום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כוללת</w:t>
      </w:r>
      <w:r w:rsidDel="00000000" w:rsidR="00000000" w:rsidRPr="00000000">
        <w:rPr>
          <w:b w:val="1"/>
          <w:rtl w:val="1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הדיסאינפורמציה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לוואי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תעמולה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תשתית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של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משטר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מגדירה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מחליפה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הבינלאומי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הנרטיבי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ומערערת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משותפת</w:t>
      </w:r>
      <w:r w:rsidDel="00000000" w:rsidR="00000000" w:rsidRPr="00000000">
        <w:rPr>
          <w:rtl w:val="1"/>
        </w:rPr>
        <w:t xml:space="preserve">.</w:t>
        <w:br w:type="textWrapping"/>
        <w:t xml:space="preserve"> </w:t>
      </w:r>
      <w:r w:rsidDel="00000000" w:rsidR="00000000" w:rsidRPr="00000000">
        <w:rPr>
          <w:rtl w:val="1"/>
        </w:rPr>
        <w:t xml:space="preserve">התגובה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הנדרשת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טכנולוגית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תפיסתית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להבין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שהמאבק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הריבונות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5">
      <w:pPr>
        <w:bidi w:val="1"/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המחבר</w:t>
      </w:r>
      <w:r w:rsidDel="00000000" w:rsidR="00000000" w:rsidRPr="00000000">
        <w:rPr>
          <w:b w:val="1"/>
          <w:rtl w:val="1"/>
        </w:rPr>
        <w:br w:type="textWrapping"/>
      </w:r>
      <w:r w:rsidDel="00000000" w:rsidR="00000000" w:rsidRPr="00000000">
        <w:rPr>
          <w:b w:val="1"/>
          <w:sz w:val="20"/>
          <w:szCs w:val="20"/>
          <w:rtl w:val="1"/>
        </w:rPr>
        <w:t xml:space="preserve">שי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גל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מומחה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לפוליטיקה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בינלאומית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ניהול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משברים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ותקשורת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אסטרטגית</w:t>
      </w:r>
      <w:r w:rsidDel="00000000" w:rsidR="00000000" w:rsidRPr="00000000">
        <w:rPr>
          <w:b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פועל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בזירה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הגלובלית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ועוסק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ביחסי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כוח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אסטרטגיה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גיאופוליטית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ודיפלומטיה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ציבורית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והשפעתם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על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עיצוב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מדיניות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וקבלת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החלטות</w:t>
      </w:r>
      <w:r w:rsidDel="00000000" w:rsidR="00000000" w:rsidRPr="00000000">
        <w:rPr>
          <w:b w:val="1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שימש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כסמנכ</w:t>
      </w:r>
      <w:r w:rsidDel="00000000" w:rsidR="00000000" w:rsidRPr="00000000">
        <w:rPr>
          <w:b w:val="1"/>
          <w:rtl w:val="1"/>
        </w:rPr>
        <w:t xml:space="preserve">״</w:t>
      </w:r>
      <w:r w:rsidDel="00000000" w:rsidR="00000000" w:rsidRPr="00000000">
        <w:rPr>
          <w:b w:val="1"/>
          <w:rtl w:val="1"/>
        </w:rPr>
        <w:t xml:space="preserve">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תקשורת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ממשל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וקהילה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בתעשייה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האווירית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לישראל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0"/>
        </w:rPr>
        <w:t xml:space="preserve">IAI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וכיועץ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בכיר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לשרים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בממשלת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ישראל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בתחומי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ניהול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משברים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עיצוב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מדיניות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והשפעה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אסטרטגית</w:t>
      </w:r>
      <w:r w:rsidDel="00000000" w:rsidR="00000000" w:rsidRPr="00000000">
        <w:rPr>
          <w:b w:val="1"/>
          <w:rtl w:val="1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